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4675E0" w:rsidRDefault="00F232F6" w:rsidP="002F3CE8">
      <w:pPr>
        <w:jc w:val="center"/>
        <w:rPr>
          <w:b/>
          <w:sz w:val="28"/>
          <w:szCs w:val="28"/>
          <w:lang w:val="uk-UA"/>
        </w:rPr>
      </w:pPr>
      <w:r w:rsidRPr="004675E0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4675E0" w:rsidRDefault="002F3CE8" w:rsidP="002F3CE8">
      <w:pPr>
        <w:jc w:val="center"/>
        <w:rPr>
          <w:sz w:val="28"/>
          <w:szCs w:val="28"/>
          <w:lang w:val="uk-UA"/>
        </w:rPr>
      </w:pPr>
      <w:r w:rsidRPr="004675E0">
        <w:rPr>
          <w:sz w:val="28"/>
          <w:szCs w:val="28"/>
          <w:lang w:val="uk-UA"/>
        </w:rPr>
        <w:t xml:space="preserve">Кафедра </w:t>
      </w:r>
      <w:r w:rsidR="00F01EE7" w:rsidRPr="004675E0">
        <w:rPr>
          <w:sz w:val="28"/>
          <w:szCs w:val="28"/>
          <w:lang w:val="uk-UA"/>
        </w:rPr>
        <w:t>кримінального та адміністративного права</w:t>
      </w:r>
    </w:p>
    <w:p w:rsidR="004675E0" w:rsidRPr="004675E0" w:rsidRDefault="004675E0" w:rsidP="002F3CE8">
      <w:pPr>
        <w:jc w:val="center"/>
        <w:rPr>
          <w:b/>
          <w:sz w:val="28"/>
          <w:szCs w:val="28"/>
          <w:lang w:val="uk-UA"/>
        </w:rPr>
      </w:pPr>
    </w:p>
    <w:p w:rsidR="002F3CE8" w:rsidRPr="004675E0" w:rsidRDefault="00707BBB" w:rsidP="002F3CE8">
      <w:pPr>
        <w:jc w:val="center"/>
        <w:rPr>
          <w:b/>
          <w:sz w:val="28"/>
          <w:szCs w:val="28"/>
          <w:lang w:val="uk-UA"/>
        </w:rPr>
      </w:pPr>
      <w:r w:rsidRPr="004675E0">
        <w:rPr>
          <w:b/>
          <w:sz w:val="28"/>
          <w:szCs w:val="28"/>
          <w:lang w:val="uk-UA"/>
        </w:rPr>
        <w:t>ПРАВО</w:t>
      </w:r>
      <w:r w:rsidR="000F5100" w:rsidRPr="004675E0">
        <w:rPr>
          <w:b/>
          <w:sz w:val="28"/>
          <w:szCs w:val="28"/>
          <w:lang w:val="uk-UA"/>
        </w:rPr>
        <w:t xml:space="preserve"> ЄВРОПЕЙСЬКОГО СОЮЗУ</w:t>
      </w:r>
    </w:p>
    <w:p w:rsidR="004675E0" w:rsidRPr="004675E0" w:rsidRDefault="004675E0" w:rsidP="002F3CE8">
      <w:pPr>
        <w:jc w:val="center"/>
        <w:rPr>
          <w:sz w:val="28"/>
          <w:szCs w:val="28"/>
          <w:lang w:val="uk-UA"/>
        </w:rPr>
      </w:pPr>
      <w:r w:rsidRPr="004675E0">
        <w:rPr>
          <w:sz w:val="28"/>
          <w:szCs w:val="28"/>
          <w:lang w:val="uk-UA"/>
        </w:rPr>
        <w:t>(</w:t>
      </w:r>
      <w:proofErr w:type="spellStart"/>
      <w:r w:rsidRPr="004675E0">
        <w:rPr>
          <w:sz w:val="28"/>
          <w:szCs w:val="28"/>
          <w:lang w:val="uk-UA"/>
        </w:rPr>
        <w:t>силабус</w:t>
      </w:r>
      <w:proofErr w:type="spellEnd"/>
      <w:r w:rsidRPr="004675E0">
        <w:rPr>
          <w:sz w:val="28"/>
          <w:szCs w:val="28"/>
          <w:lang w:val="uk-UA"/>
        </w:rPr>
        <w:t xml:space="preserve"> навчальної дисципліни)</w:t>
      </w:r>
    </w:p>
    <w:p w:rsidR="004675E0" w:rsidRPr="004675E0" w:rsidRDefault="004675E0" w:rsidP="002F3CE8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2557"/>
        <w:gridCol w:w="992"/>
        <w:gridCol w:w="992"/>
        <w:gridCol w:w="1276"/>
        <w:gridCol w:w="981"/>
        <w:gridCol w:w="11"/>
      </w:tblGrid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4675E0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4675E0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4675E0" w:rsidRDefault="000F5100" w:rsidP="00F232F6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П</w:t>
            </w:r>
            <w:r w:rsidR="00717F40" w:rsidRPr="004675E0">
              <w:rPr>
                <w:sz w:val="28"/>
                <w:szCs w:val="28"/>
                <w:lang w:val="uk-UA"/>
              </w:rPr>
              <w:t>раво</w:t>
            </w:r>
            <w:r w:rsidRPr="004675E0">
              <w:rPr>
                <w:sz w:val="28"/>
                <w:szCs w:val="28"/>
                <w:lang w:val="uk-UA"/>
              </w:rPr>
              <w:t xml:space="preserve"> Європейського Союзу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4675E0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4675E0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Соловйова Аліна Миколаївна</w:t>
            </w:r>
            <w:r w:rsidR="002F3CE8" w:rsidRPr="004675E0">
              <w:rPr>
                <w:sz w:val="28"/>
                <w:szCs w:val="28"/>
                <w:lang w:val="uk-UA"/>
              </w:rPr>
              <w:t xml:space="preserve">, </w:t>
            </w:r>
            <w:r w:rsidRPr="004675E0">
              <w:rPr>
                <w:sz w:val="28"/>
                <w:szCs w:val="28"/>
                <w:lang w:val="uk-UA"/>
              </w:rPr>
              <w:t>професор</w:t>
            </w:r>
            <w:r w:rsidR="00A0711D" w:rsidRPr="004675E0">
              <w:rPr>
                <w:sz w:val="28"/>
                <w:szCs w:val="28"/>
                <w:lang w:val="uk-UA"/>
              </w:rPr>
              <w:t xml:space="preserve"> </w:t>
            </w:r>
            <w:r w:rsidR="002F3CE8" w:rsidRPr="004675E0">
              <w:rPr>
                <w:sz w:val="28"/>
                <w:szCs w:val="28"/>
                <w:lang w:val="uk-UA"/>
              </w:rPr>
              <w:t xml:space="preserve">кафедри </w:t>
            </w:r>
            <w:r w:rsidRPr="004675E0">
              <w:rPr>
                <w:sz w:val="28"/>
                <w:szCs w:val="28"/>
                <w:lang w:val="uk-UA"/>
              </w:rPr>
              <w:t xml:space="preserve">прав людини, міжнародного та європейського права, </w:t>
            </w:r>
            <w:proofErr w:type="spellStart"/>
            <w:r w:rsidRPr="004675E0">
              <w:rPr>
                <w:sz w:val="28"/>
                <w:szCs w:val="28"/>
                <w:lang w:val="uk-UA"/>
              </w:rPr>
              <w:t>д.ю.н</w:t>
            </w:r>
            <w:proofErr w:type="spellEnd"/>
            <w:r w:rsidRPr="004675E0">
              <w:rPr>
                <w:sz w:val="28"/>
                <w:szCs w:val="28"/>
                <w:lang w:val="uk-UA"/>
              </w:rPr>
              <w:t>., доцент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4675E0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4675E0" w:rsidRDefault="002F3CE8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(</w:t>
            </w:r>
            <w:r w:rsidR="00A0711D" w:rsidRPr="004675E0">
              <w:rPr>
                <w:sz w:val="28"/>
                <w:szCs w:val="28"/>
                <w:lang w:val="uk-UA"/>
              </w:rPr>
              <w:t>044</w:t>
            </w:r>
            <w:r w:rsidRPr="004675E0">
              <w:rPr>
                <w:sz w:val="28"/>
                <w:szCs w:val="28"/>
                <w:lang w:val="uk-UA"/>
              </w:rPr>
              <w:t xml:space="preserve">) </w:t>
            </w:r>
            <w:r w:rsidR="00A0711D" w:rsidRPr="004675E0">
              <w:rPr>
                <w:sz w:val="28"/>
                <w:szCs w:val="28"/>
                <w:lang w:val="uk-UA"/>
              </w:rPr>
              <w:t>246 59 66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4675E0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4675E0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4675E0"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4675E0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Altoryk10@ukr.net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4675E0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4675E0" w:rsidRDefault="001E0A79" w:rsidP="00E756F0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4</w:t>
            </w:r>
            <w:r w:rsidR="002F3CE8" w:rsidRPr="004675E0">
              <w:rPr>
                <w:sz w:val="28"/>
                <w:szCs w:val="28"/>
                <w:lang w:val="uk-UA"/>
              </w:rPr>
              <w:t xml:space="preserve"> кредити ЄКТС, </w:t>
            </w:r>
            <w:r w:rsidR="008F378C" w:rsidRPr="004675E0">
              <w:rPr>
                <w:sz w:val="28"/>
                <w:szCs w:val="28"/>
                <w:lang w:val="uk-UA"/>
              </w:rPr>
              <w:t>1</w:t>
            </w:r>
            <w:r w:rsidRPr="004675E0">
              <w:rPr>
                <w:sz w:val="28"/>
                <w:szCs w:val="28"/>
                <w:lang w:val="uk-UA"/>
              </w:rPr>
              <w:t>2</w:t>
            </w:r>
            <w:r w:rsidR="002F3CE8" w:rsidRPr="004675E0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AD46F1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AD46F1" w:rsidRPr="004675E0" w:rsidRDefault="00AD46F1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AD46F1" w:rsidRPr="004675E0" w:rsidRDefault="007D31DD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У</w:t>
            </w:r>
            <w:r w:rsidR="00AD46F1" w:rsidRPr="004675E0">
              <w:rPr>
                <w:sz w:val="28"/>
                <w:szCs w:val="28"/>
                <w:lang w:val="uk-UA"/>
              </w:rPr>
              <w:t>країнська</w:t>
            </w:r>
            <w:r w:rsidRPr="004675E0">
              <w:rPr>
                <w:sz w:val="28"/>
                <w:szCs w:val="28"/>
                <w:lang w:val="uk-UA"/>
              </w:rPr>
              <w:t>, англійська</w:t>
            </w:r>
            <w:r w:rsidR="00AD46F1" w:rsidRPr="004675E0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4675E0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4675E0" w:rsidRDefault="002F3CE8" w:rsidP="00466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4675E0">
              <w:rPr>
                <w:sz w:val="28"/>
                <w:szCs w:val="28"/>
                <w:lang w:val="uk-UA"/>
              </w:rPr>
              <w:t>г</w:t>
            </w:r>
            <w:r w:rsidRPr="004675E0">
              <w:rPr>
                <w:sz w:val="28"/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4675E0">
              <w:rPr>
                <w:sz w:val="28"/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4675E0">
              <w:rPr>
                <w:sz w:val="28"/>
                <w:szCs w:val="28"/>
                <w:lang w:val="uk-UA"/>
              </w:rPr>
              <w:t>силабусі</w:t>
            </w:r>
            <w:proofErr w:type="spellEnd"/>
            <w:r w:rsidR="008C7BDF" w:rsidRPr="004675E0">
              <w:rPr>
                <w:sz w:val="28"/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Відпрацювання проводяться </w:t>
            </w:r>
            <w:r w:rsidR="00294049" w:rsidRPr="004675E0">
              <w:rPr>
                <w:sz w:val="28"/>
                <w:szCs w:val="28"/>
                <w:lang w:val="uk-UA"/>
              </w:rPr>
              <w:t>що</w:t>
            </w:r>
            <w:r w:rsidR="008C7BDF" w:rsidRPr="004675E0">
              <w:rPr>
                <w:sz w:val="28"/>
                <w:szCs w:val="28"/>
                <w:lang w:val="uk-UA"/>
              </w:rPr>
              <w:t>четверга.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4675E0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FD051E" w:rsidRPr="004675E0" w:rsidRDefault="002F3CE8" w:rsidP="00120CEB">
            <w:pPr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i/>
                <w:sz w:val="28"/>
                <w:szCs w:val="28"/>
                <w:lang w:val="uk-UA"/>
              </w:rPr>
              <w:t>Предметом</w:t>
            </w:r>
            <w:r w:rsidRPr="004675E0">
              <w:rPr>
                <w:sz w:val="28"/>
                <w:szCs w:val="28"/>
                <w:lang w:val="uk-UA"/>
              </w:rPr>
              <w:t xml:space="preserve"> </w:t>
            </w:r>
            <w:r w:rsidR="00A07CD2" w:rsidRPr="004675E0">
              <w:rPr>
                <w:sz w:val="28"/>
                <w:szCs w:val="28"/>
                <w:lang w:val="uk-UA"/>
              </w:rPr>
              <w:t xml:space="preserve">курсу </w:t>
            </w:r>
            <w:r w:rsidR="00FD051E" w:rsidRPr="004675E0">
              <w:rPr>
                <w:color w:val="000000"/>
                <w:spacing w:val="-5"/>
                <w:sz w:val="28"/>
                <w:szCs w:val="28"/>
                <w:lang w:val="uk-UA"/>
              </w:rPr>
              <w:t>«</w:t>
            </w:r>
            <w:r w:rsidR="001E0A79" w:rsidRPr="004675E0">
              <w:rPr>
                <w:color w:val="000000"/>
                <w:spacing w:val="-5"/>
                <w:sz w:val="28"/>
                <w:szCs w:val="28"/>
                <w:lang w:val="uk-UA"/>
              </w:rPr>
              <w:t>П</w:t>
            </w:r>
            <w:r w:rsidR="00FD051E" w:rsidRPr="004675E0">
              <w:rPr>
                <w:color w:val="000000"/>
                <w:spacing w:val="-5"/>
                <w:sz w:val="28"/>
                <w:szCs w:val="28"/>
                <w:lang w:val="uk-UA"/>
              </w:rPr>
              <w:t>раво</w:t>
            </w:r>
            <w:r w:rsidR="001E0A79" w:rsidRPr="004675E0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ЄС</w:t>
            </w:r>
            <w:r w:rsidR="00FD051E" w:rsidRPr="004675E0">
              <w:rPr>
                <w:sz w:val="28"/>
                <w:szCs w:val="28"/>
                <w:lang w:val="uk-UA"/>
              </w:rPr>
              <w:t>»</w:t>
            </w:r>
            <w:r w:rsidR="00952A20" w:rsidRPr="004675E0">
              <w:rPr>
                <w:sz w:val="28"/>
                <w:szCs w:val="28"/>
                <w:lang w:val="uk-UA"/>
              </w:rPr>
              <w:t xml:space="preserve"> є</w:t>
            </w:r>
            <w:r w:rsidR="001E0A79" w:rsidRPr="004675E0">
              <w:rPr>
                <w:sz w:val="28"/>
                <w:szCs w:val="28"/>
                <w:lang w:val="uk-UA"/>
              </w:rPr>
              <w:t xml:space="preserve"> </w:t>
            </w:r>
            <w:r w:rsidR="00721C0B"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передумови створення та основні етапи становлення Європейського Союзу; </w:t>
            </w:r>
            <w:r w:rsidR="00721C0B" w:rsidRPr="004675E0">
              <w:rPr>
                <w:sz w:val="28"/>
                <w:szCs w:val="28"/>
                <w:lang w:val="uk-UA"/>
              </w:rPr>
              <w:t xml:space="preserve">загальний зміст нормативно-правових актів </w:t>
            </w:r>
            <w:r w:rsidR="00721C0B"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="00721C0B" w:rsidRPr="004675E0">
              <w:rPr>
                <w:sz w:val="28"/>
                <w:szCs w:val="28"/>
                <w:lang w:val="uk-UA"/>
              </w:rPr>
              <w:t xml:space="preserve">; інституційний механізм Європейського Союзу; тенденції розвитку права </w:t>
            </w:r>
            <w:r w:rsidR="00721C0B"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="00721C0B" w:rsidRPr="004675E0">
              <w:rPr>
                <w:sz w:val="28"/>
                <w:szCs w:val="28"/>
                <w:lang w:val="uk-UA"/>
              </w:rPr>
              <w:t xml:space="preserve"> у сучасному світі; особливості </w:t>
            </w:r>
            <w:r w:rsidR="000D5626" w:rsidRPr="004675E0">
              <w:rPr>
                <w:sz w:val="28"/>
                <w:szCs w:val="28"/>
                <w:lang w:val="uk-UA"/>
              </w:rPr>
              <w:t>інтеграції</w:t>
            </w:r>
            <w:r w:rsidR="00721C0B" w:rsidRPr="004675E0">
              <w:rPr>
                <w:sz w:val="28"/>
                <w:szCs w:val="28"/>
                <w:lang w:val="uk-UA"/>
              </w:rPr>
              <w:t xml:space="preserve"> України до Європейського Союзу</w:t>
            </w:r>
            <w:r w:rsidR="008F378C" w:rsidRPr="004675E0">
              <w:rPr>
                <w:sz w:val="28"/>
                <w:szCs w:val="28"/>
                <w:lang w:val="uk-UA"/>
              </w:rPr>
              <w:t xml:space="preserve">. </w:t>
            </w:r>
            <w:r w:rsidR="00952A20" w:rsidRPr="004675E0">
              <w:rPr>
                <w:sz w:val="28"/>
                <w:szCs w:val="28"/>
                <w:lang w:val="uk-UA"/>
              </w:rPr>
              <w:t>Основна увага приділяється</w:t>
            </w:r>
            <w:r w:rsidR="00FD051E" w:rsidRPr="004675E0">
              <w:rPr>
                <w:sz w:val="28"/>
                <w:szCs w:val="28"/>
                <w:lang w:val="uk-UA"/>
              </w:rPr>
              <w:t xml:space="preserve"> вивченн</w:t>
            </w:r>
            <w:r w:rsidR="00952A20" w:rsidRPr="004675E0">
              <w:rPr>
                <w:sz w:val="28"/>
                <w:szCs w:val="28"/>
                <w:lang w:val="uk-UA"/>
              </w:rPr>
              <w:t>ю</w:t>
            </w:r>
            <w:r w:rsidR="00FD051E" w:rsidRPr="004675E0">
              <w:rPr>
                <w:sz w:val="28"/>
                <w:szCs w:val="28"/>
                <w:lang w:val="uk-UA"/>
              </w:rPr>
              <w:t xml:space="preserve"> основних інститутів </w:t>
            </w:r>
            <w:r w:rsidR="00890975" w:rsidRPr="004675E0">
              <w:rPr>
                <w:sz w:val="28"/>
                <w:szCs w:val="28"/>
                <w:lang w:val="uk-UA"/>
              </w:rPr>
              <w:t>права</w:t>
            </w:r>
            <w:r w:rsidR="00721C0B" w:rsidRPr="004675E0">
              <w:rPr>
                <w:sz w:val="28"/>
                <w:szCs w:val="28"/>
                <w:lang w:val="uk-UA"/>
              </w:rPr>
              <w:t xml:space="preserve"> ЄС</w:t>
            </w:r>
            <w:r w:rsidR="00FD051E" w:rsidRPr="004675E0">
              <w:rPr>
                <w:sz w:val="28"/>
                <w:szCs w:val="28"/>
                <w:lang w:val="uk-UA"/>
              </w:rPr>
              <w:t>, принципів їх побудови, а також практики застосування законодавчих приписів та положень.</w:t>
            </w:r>
          </w:p>
          <w:p w:rsidR="002F3CE8" w:rsidRPr="004675E0" w:rsidRDefault="002F3CE8" w:rsidP="00E756F0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Програма навчальної дисципліни складається з </w:t>
            </w:r>
            <w:r w:rsidR="006B1DFB" w:rsidRPr="004675E0">
              <w:rPr>
                <w:sz w:val="28"/>
                <w:szCs w:val="28"/>
                <w:lang w:val="uk-UA"/>
              </w:rPr>
              <w:t>одного</w:t>
            </w:r>
            <w:r w:rsidRPr="004675E0">
              <w:rPr>
                <w:sz w:val="28"/>
                <w:szCs w:val="28"/>
                <w:lang w:val="uk-UA"/>
              </w:rPr>
              <w:t xml:space="preserve"> </w:t>
            </w:r>
            <w:r w:rsidRPr="004675E0">
              <w:rPr>
                <w:b/>
                <w:sz w:val="28"/>
                <w:szCs w:val="28"/>
                <w:lang w:val="uk-UA"/>
              </w:rPr>
              <w:t>змістов</w:t>
            </w:r>
            <w:r w:rsidR="006B1DFB" w:rsidRPr="004675E0">
              <w:rPr>
                <w:b/>
                <w:sz w:val="28"/>
                <w:szCs w:val="28"/>
                <w:lang w:val="uk-UA"/>
              </w:rPr>
              <w:t>ного</w:t>
            </w:r>
            <w:r w:rsidRPr="004675E0">
              <w:rPr>
                <w:b/>
                <w:sz w:val="28"/>
                <w:szCs w:val="28"/>
                <w:lang w:val="uk-UA"/>
              </w:rPr>
              <w:t xml:space="preserve"> модул</w:t>
            </w:r>
            <w:r w:rsidR="006B1DFB" w:rsidRPr="004675E0">
              <w:rPr>
                <w:b/>
                <w:sz w:val="28"/>
                <w:szCs w:val="28"/>
                <w:lang w:val="uk-UA"/>
              </w:rPr>
              <w:t>ю.</w:t>
            </w:r>
          </w:p>
          <w:p w:rsidR="001F4FCD" w:rsidRPr="004675E0" w:rsidRDefault="00F01EE7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Навчальна дисципліна «</w:t>
            </w:r>
            <w:r w:rsidR="006B1DFB" w:rsidRPr="004675E0">
              <w:rPr>
                <w:sz w:val="28"/>
                <w:szCs w:val="28"/>
                <w:lang w:val="uk-UA"/>
              </w:rPr>
              <w:t>П</w:t>
            </w:r>
            <w:r w:rsidR="005E61D0" w:rsidRPr="004675E0">
              <w:rPr>
                <w:color w:val="000000"/>
                <w:spacing w:val="-5"/>
                <w:sz w:val="28"/>
                <w:szCs w:val="28"/>
                <w:lang w:val="uk-UA"/>
              </w:rPr>
              <w:t>раво</w:t>
            </w:r>
            <w:r w:rsidR="006B1DFB" w:rsidRPr="004675E0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ЄС</w:t>
            </w:r>
            <w:r w:rsidRPr="004675E0">
              <w:rPr>
                <w:sz w:val="28"/>
                <w:szCs w:val="28"/>
                <w:lang w:val="uk-UA"/>
              </w:rPr>
              <w:t>» заклада</w:t>
            </w:r>
            <w:r w:rsidR="00890975" w:rsidRPr="004675E0">
              <w:rPr>
                <w:sz w:val="28"/>
                <w:szCs w:val="28"/>
                <w:lang w:val="uk-UA"/>
              </w:rPr>
              <w:t>є</w:t>
            </w:r>
            <w:r w:rsidRPr="004675E0">
              <w:rPr>
                <w:sz w:val="28"/>
                <w:szCs w:val="28"/>
                <w:lang w:val="uk-UA"/>
              </w:rPr>
              <w:t xml:space="preserve"> основн</w:t>
            </w:r>
            <w:r w:rsidR="00890975" w:rsidRPr="004675E0">
              <w:rPr>
                <w:sz w:val="28"/>
                <w:szCs w:val="28"/>
                <w:lang w:val="uk-UA"/>
              </w:rPr>
              <w:t>і</w:t>
            </w:r>
            <w:r w:rsidRPr="004675E0">
              <w:rPr>
                <w:sz w:val="28"/>
                <w:szCs w:val="28"/>
                <w:lang w:val="uk-UA"/>
              </w:rPr>
              <w:t xml:space="preserve"> знання щодо </w:t>
            </w:r>
            <w:r w:rsidR="005E61D0" w:rsidRPr="004675E0">
              <w:rPr>
                <w:sz w:val="28"/>
                <w:szCs w:val="28"/>
                <w:lang w:val="uk-UA"/>
              </w:rPr>
              <w:t>вивчення особливостей формулювання правових дефініцій, норм та інститутів права</w:t>
            </w:r>
            <w:r w:rsidR="006B1DFB" w:rsidRPr="004675E0">
              <w:rPr>
                <w:sz w:val="28"/>
                <w:szCs w:val="28"/>
                <w:lang w:val="uk-UA"/>
              </w:rPr>
              <w:t xml:space="preserve"> Європейського Союзу</w:t>
            </w:r>
            <w:r w:rsidR="005E61D0" w:rsidRPr="004675E0">
              <w:rPr>
                <w:sz w:val="28"/>
                <w:szCs w:val="28"/>
                <w:lang w:val="uk-UA"/>
              </w:rPr>
              <w:t>, виявлення специфіки правозастосування.</w:t>
            </w:r>
          </w:p>
          <w:p w:rsidR="00990589" w:rsidRPr="004675E0" w:rsidRDefault="002F3CE8" w:rsidP="001B5196">
            <w:pPr>
              <w:pStyle w:val="ae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sz w:val="28"/>
                <w:szCs w:val="28"/>
              </w:rPr>
            </w:pPr>
            <w:r w:rsidRPr="004675E0">
              <w:rPr>
                <w:i/>
                <w:sz w:val="28"/>
                <w:szCs w:val="28"/>
              </w:rPr>
              <w:t>Основними джерелами</w:t>
            </w:r>
            <w:r w:rsidRPr="004675E0">
              <w:rPr>
                <w:sz w:val="28"/>
                <w:szCs w:val="28"/>
              </w:rPr>
              <w:t xml:space="preserve"> навчальної дисципліни виступають </w:t>
            </w:r>
            <w:r w:rsidR="00990589" w:rsidRPr="004675E0">
              <w:rPr>
                <w:sz w:val="28"/>
                <w:szCs w:val="28"/>
              </w:rPr>
              <w:t>установчі договори; нормативно-правові акти ЄС; загальні принципи права; рішення Суду ЄС; міжнародні договори.</w:t>
            </w:r>
            <w:r w:rsidR="001B5196" w:rsidRPr="004675E0">
              <w:rPr>
                <w:sz w:val="28"/>
                <w:szCs w:val="28"/>
              </w:rPr>
              <w:t xml:space="preserve"> </w:t>
            </w:r>
            <w:r w:rsidR="001B5196" w:rsidRPr="004675E0">
              <w:rPr>
                <w:sz w:val="28"/>
                <w:szCs w:val="28"/>
                <w:shd w:val="clear" w:color="auto" w:fill="FFFFFF"/>
              </w:rPr>
              <w:t>Паризький договір 1951 р. про створення ЄОВС</w:t>
            </w:r>
            <w:r w:rsidR="004675E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5196" w:rsidRPr="004675E0">
              <w:rPr>
                <w:sz w:val="28"/>
                <w:szCs w:val="28"/>
                <w:shd w:val="clear" w:color="auto" w:fill="FFFFFF"/>
              </w:rPr>
              <w:t>(Європейськ</w:t>
            </w:r>
            <w:r w:rsidR="004675E0">
              <w:rPr>
                <w:sz w:val="28"/>
                <w:szCs w:val="28"/>
                <w:shd w:val="clear" w:color="auto" w:fill="FFFFFF"/>
              </w:rPr>
              <w:t xml:space="preserve">е об'єднання вугілля та сталі), </w:t>
            </w:r>
            <w:r w:rsidR="001B5196" w:rsidRPr="004675E0">
              <w:rPr>
                <w:sz w:val="28"/>
                <w:szCs w:val="28"/>
                <w:shd w:val="clear" w:color="auto" w:fill="FFFFFF"/>
              </w:rPr>
              <w:t xml:space="preserve">Римські договори 1957 р., </w:t>
            </w:r>
            <w:r w:rsidR="001B5196" w:rsidRPr="004675E0">
              <w:rPr>
                <w:sz w:val="28"/>
                <w:szCs w:val="28"/>
                <w:shd w:val="clear" w:color="auto" w:fill="FFFFFF"/>
              </w:rPr>
              <w:lastRenderedPageBreak/>
              <w:t xml:space="preserve">що поклали початок існуванню </w:t>
            </w:r>
            <w:proofErr w:type="spellStart"/>
            <w:r w:rsidR="001B5196" w:rsidRPr="004675E0">
              <w:rPr>
                <w:sz w:val="28"/>
                <w:szCs w:val="28"/>
                <w:shd w:val="clear" w:color="auto" w:fill="FFFFFF"/>
              </w:rPr>
              <w:t>Євроатому</w:t>
            </w:r>
            <w:proofErr w:type="spellEnd"/>
            <w:r w:rsidR="001B5196" w:rsidRPr="004675E0">
              <w:rPr>
                <w:sz w:val="28"/>
                <w:szCs w:val="28"/>
                <w:shd w:val="clear" w:color="auto" w:fill="FFFFFF"/>
              </w:rPr>
              <w:t xml:space="preserve"> і Європейського економічного співтовариства (ЄЕС), а також акти, що доповнюють і змінюють дані договори і яким держави-члени Європейського Союзу надають характер установчих актів. До їхнього числа належать насамперед</w:t>
            </w:r>
            <w:r w:rsidR="004675E0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="001B5196" w:rsidRPr="004675E0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Єдиний європейський акт 1986 р</w:t>
              </w:r>
            </w:hyperlink>
            <w:r w:rsidR="004675E0">
              <w:rPr>
                <w:sz w:val="28"/>
                <w:szCs w:val="28"/>
                <w:shd w:val="clear" w:color="auto" w:fill="FFFFFF"/>
              </w:rPr>
              <w:t xml:space="preserve">., </w:t>
            </w:r>
            <w:hyperlink r:id="rId6" w:history="1">
              <w:r w:rsidR="001B5196" w:rsidRPr="004675E0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Маастрихтський договір про створення Європейського Союзу 1992 р</w:t>
              </w:r>
            </w:hyperlink>
            <w:r w:rsidR="001B5196" w:rsidRPr="004675E0">
              <w:rPr>
                <w:sz w:val="28"/>
                <w:szCs w:val="28"/>
                <w:shd w:val="clear" w:color="auto" w:fill="FFFFFF"/>
              </w:rPr>
              <w:t>. і Амстердамський договір 1997 р., що вступив в силу з травня 1999 р.</w:t>
            </w:r>
          </w:p>
          <w:p w:rsidR="00FF515F" w:rsidRPr="004675E0" w:rsidRDefault="00F01EE7" w:rsidP="006B1DFB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Сучасний фахівець-юрист повинен мати </w:t>
            </w:r>
            <w:r w:rsidRPr="004675E0">
              <w:rPr>
                <w:rStyle w:val="variantcorrected"/>
                <w:sz w:val="28"/>
                <w:szCs w:val="28"/>
                <w:lang w:val="uk-UA"/>
              </w:rPr>
              <w:t>уявлення</w:t>
            </w:r>
            <w:r w:rsidRPr="004675E0">
              <w:rPr>
                <w:sz w:val="28"/>
                <w:szCs w:val="28"/>
                <w:lang w:val="uk-UA"/>
              </w:rPr>
              <w:t xml:space="preserve"> про </w:t>
            </w:r>
            <w:r w:rsidR="000D5626" w:rsidRPr="004675E0">
              <w:rPr>
                <w:sz w:val="28"/>
                <w:szCs w:val="28"/>
                <w:lang w:val="uk-UA"/>
              </w:rPr>
              <w:t xml:space="preserve">систему договорів та законодавчих актів, таких як Постанови та Директиви, що мають пряме або непряме застосування в державах-членах Європейського Союзу; загального змісту нормативно-правових актів </w:t>
            </w:r>
            <w:r w:rsidR="000D5626"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="000D5626" w:rsidRPr="004675E0">
              <w:rPr>
                <w:sz w:val="28"/>
                <w:szCs w:val="28"/>
                <w:lang w:val="uk-UA"/>
              </w:rPr>
              <w:t xml:space="preserve">; інституційного механізму Європейського Союзу; тенденцій розвитку права </w:t>
            </w:r>
            <w:r w:rsidR="000D5626"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="000D5626" w:rsidRPr="004675E0">
              <w:rPr>
                <w:sz w:val="28"/>
                <w:szCs w:val="28"/>
                <w:lang w:val="uk-UA"/>
              </w:rPr>
              <w:t xml:space="preserve"> у сучасному світі; особливостей інтеграції </w:t>
            </w:r>
            <w:r w:rsidR="004675E0">
              <w:rPr>
                <w:sz w:val="28"/>
                <w:szCs w:val="28"/>
                <w:lang w:val="uk-UA"/>
              </w:rPr>
              <w:t>України до Європейського Союзу.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4675E0" w:rsidRDefault="00A07CD2" w:rsidP="00E75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2F3CE8" w:rsidRPr="004675E0">
              <w:rPr>
                <w:b/>
                <w:sz w:val="28"/>
                <w:szCs w:val="28"/>
                <w:lang w:val="uk-UA"/>
              </w:rPr>
              <w:t>. Результати навчання (компетентності)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D56125" w:rsidRPr="004675E0" w:rsidRDefault="00D56125" w:rsidP="00D5612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РЕЗУЛЬТАТИ НАВЧАННЯ (КОМПЕТЕНЦІЇ):</w:t>
            </w:r>
          </w:p>
          <w:p w:rsidR="00D56125" w:rsidRPr="004675E0" w:rsidRDefault="00D56125" w:rsidP="00D56125">
            <w:pPr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 понятійний та категорійний апарат у сфері європейської інтеграції; зміст основних етапів становлення інституційної системи ЄС;</w:t>
            </w:r>
            <w:r w:rsidR="004675E0">
              <w:rPr>
                <w:sz w:val="28"/>
                <w:szCs w:val="28"/>
                <w:lang w:val="uk-UA"/>
              </w:rPr>
              <w:t xml:space="preserve"> </w:t>
            </w:r>
            <w:r w:rsidRPr="004675E0">
              <w:rPr>
                <w:sz w:val="28"/>
                <w:szCs w:val="28"/>
                <w:lang w:val="uk-UA"/>
              </w:rPr>
              <w:t>характерні риси і особливості організаційної моделі ЄС;</w:t>
            </w:r>
            <w:r w:rsidR="004675E0">
              <w:rPr>
                <w:sz w:val="28"/>
                <w:szCs w:val="28"/>
                <w:lang w:val="uk-UA"/>
              </w:rPr>
              <w:t xml:space="preserve"> </w:t>
            </w:r>
            <w:r w:rsidRPr="004675E0">
              <w:rPr>
                <w:sz w:val="28"/>
                <w:szCs w:val="28"/>
                <w:lang w:val="uk-UA"/>
              </w:rPr>
              <w:t>структуру та напрями еволюції інституційної системи ЄС згідно з установчими договорами ЄС; прерогативи, правовий статус, організаційну структуру й функції інститутів і органів ЄС;</w:t>
            </w:r>
          </w:p>
          <w:p w:rsidR="00D56125" w:rsidRPr="004675E0" w:rsidRDefault="00D56125" w:rsidP="0019173B">
            <w:pPr>
              <w:pStyle w:val="a7"/>
              <w:numPr>
                <w:ilvl w:val="0"/>
                <w:numId w:val="19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5E0">
              <w:rPr>
                <w:rFonts w:ascii="Times New Roman" w:hAnsi="Times New Roman"/>
                <w:sz w:val="28"/>
                <w:szCs w:val="28"/>
              </w:rPr>
              <w:t>Орієнтування в практиці ЄСПЛ. Знає роль ЄСПЛ в практиці правозастосування держав-учасників Конвенції.</w:t>
            </w:r>
            <w:r w:rsidR="0046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5E0">
              <w:rPr>
                <w:rFonts w:ascii="Times New Roman" w:hAnsi="Times New Roman"/>
                <w:sz w:val="28"/>
                <w:szCs w:val="28"/>
              </w:rPr>
              <w:t>Знає особливості системи прийняття рішень в ЄС;</w:t>
            </w:r>
            <w:r w:rsidR="00294049" w:rsidRPr="0046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5E0">
              <w:rPr>
                <w:rFonts w:ascii="Times New Roman" w:hAnsi="Times New Roman"/>
                <w:sz w:val="28"/>
                <w:szCs w:val="28"/>
              </w:rPr>
              <w:t>основоположні ознаки політичної системи ЄС;</w:t>
            </w:r>
            <w:r w:rsidR="0046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5E0">
              <w:rPr>
                <w:rFonts w:ascii="Times New Roman" w:hAnsi="Times New Roman"/>
                <w:sz w:val="28"/>
                <w:szCs w:val="28"/>
              </w:rPr>
              <w:t xml:space="preserve">особливості </w:t>
            </w:r>
            <w:r w:rsidR="00294049" w:rsidRPr="004675E0">
              <w:rPr>
                <w:rFonts w:ascii="Times New Roman" w:hAnsi="Times New Roman"/>
                <w:sz w:val="28"/>
                <w:szCs w:val="28"/>
              </w:rPr>
              <w:t>формування бюджету ЄС;</w:t>
            </w:r>
            <w:r w:rsidR="0046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049" w:rsidRPr="004675E0">
              <w:rPr>
                <w:rFonts w:ascii="Times New Roman" w:hAnsi="Times New Roman"/>
                <w:sz w:val="28"/>
                <w:szCs w:val="28"/>
              </w:rPr>
              <w:t>напрями і</w:t>
            </w:r>
            <w:r w:rsidRPr="004675E0">
              <w:rPr>
                <w:rFonts w:ascii="Times New Roman" w:hAnsi="Times New Roman"/>
                <w:sz w:val="28"/>
                <w:szCs w:val="28"/>
              </w:rPr>
              <w:t>нституціональної реформи ЄС.</w:t>
            </w:r>
          </w:p>
          <w:p w:rsidR="00D56125" w:rsidRPr="004675E0" w:rsidRDefault="00466778" w:rsidP="0019173B">
            <w:pPr>
              <w:pStyle w:val="a7"/>
              <w:numPr>
                <w:ilvl w:val="0"/>
                <w:numId w:val="19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5E0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r w:rsidR="00D56125" w:rsidRPr="004675E0">
              <w:rPr>
                <w:rFonts w:ascii="Times New Roman" w:hAnsi="Times New Roman"/>
                <w:sz w:val="28"/>
                <w:szCs w:val="28"/>
              </w:rPr>
              <w:t xml:space="preserve"> отриманих знань при тлумаченні норм законодавства та вирішенні завдань (казусів).</w:t>
            </w:r>
          </w:p>
          <w:p w:rsidR="00D56125" w:rsidRPr="004675E0" w:rsidRDefault="00D56125" w:rsidP="00D5612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D56125" w:rsidRPr="004675E0" w:rsidRDefault="00D56125" w:rsidP="00D5612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знати: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основні дефініції, концепції, положення права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Pr="004675E0">
              <w:rPr>
                <w:sz w:val="28"/>
                <w:szCs w:val="28"/>
                <w:lang w:val="uk-UA"/>
              </w:rPr>
              <w:t>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передумови створення та основні етапи становлення Європейського Союзу;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загальний зміст нормативно-правових актів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Pr="004675E0">
              <w:rPr>
                <w:sz w:val="28"/>
                <w:szCs w:val="28"/>
                <w:lang w:val="uk-UA"/>
              </w:rPr>
              <w:t xml:space="preserve">; 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інституційний механізм Європейського Союзу;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тенденції розвитку права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Pr="004675E0">
              <w:rPr>
                <w:sz w:val="28"/>
                <w:szCs w:val="28"/>
                <w:lang w:val="uk-UA"/>
              </w:rPr>
              <w:t xml:space="preserve"> у сучасному світі;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особливості </w:t>
            </w:r>
            <w:r w:rsidR="00466778" w:rsidRPr="004675E0">
              <w:rPr>
                <w:sz w:val="28"/>
                <w:szCs w:val="28"/>
                <w:lang w:val="uk-UA"/>
              </w:rPr>
              <w:t>інтеграції</w:t>
            </w:r>
            <w:r w:rsidRPr="004675E0">
              <w:rPr>
                <w:sz w:val="28"/>
                <w:szCs w:val="28"/>
                <w:lang w:val="uk-UA"/>
              </w:rPr>
              <w:t xml:space="preserve"> України до Європейського Союзу;</w:t>
            </w:r>
          </w:p>
          <w:p w:rsidR="00D56125" w:rsidRPr="004675E0" w:rsidRDefault="00D56125" w:rsidP="00D5612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вміти: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оцінювати співвідношення національного права та права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Pr="004675E0">
              <w:rPr>
                <w:sz w:val="28"/>
                <w:szCs w:val="28"/>
                <w:lang w:val="uk-UA"/>
              </w:rPr>
              <w:t>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lastRenderedPageBreak/>
              <w:t xml:space="preserve">застосовувати міжнародно-правову термінологію у сфері права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Pr="004675E0">
              <w:rPr>
                <w:sz w:val="28"/>
                <w:szCs w:val="28"/>
                <w:lang w:val="uk-UA"/>
              </w:rPr>
              <w:t>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працювати з джерелами права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</w:t>
            </w:r>
            <w:r w:rsidRPr="004675E0">
              <w:rPr>
                <w:sz w:val="28"/>
                <w:szCs w:val="28"/>
                <w:lang w:val="uk-UA"/>
              </w:rPr>
              <w:t>;</w:t>
            </w:r>
          </w:p>
          <w:p w:rsidR="00D56125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аналізувати наукові погляди та концепції у сфері права </w:t>
            </w: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Європейського Союзу;</w:t>
            </w:r>
          </w:p>
          <w:p w:rsidR="002A68A0" w:rsidRPr="004675E0" w:rsidRDefault="00D56125" w:rsidP="00D56125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визначати тенденції та перспективи інтеграції України до Європейського Союзу</w:t>
            </w:r>
            <w:r w:rsidRPr="004675E0">
              <w:rPr>
                <w:sz w:val="28"/>
                <w:szCs w:val="28"/>
                <w:lang w:val="uk-UA"/>
              </w:rPr>
              <w:t>.</w:t>
            </w:r>
          </w:p>
          <w:p w:rsidR="005F7F86" w:rsidRPr="004675E0" w:rsidRDefault="005F7F86" w:rsidP="005F7F86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5F7F86" w:rsidRPr="004675E0" w:rsidRDefault="005F7F86" w:rsidP="005F7F86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t xml:space="preserve">Програмні результати навчання: </w:t>
            </w:r>
          </w:p>
          <w:p w:rsidR="005F7F86" w:rsidRPr="004675E0" w:rsidRDefault="005F7F86" w:rsidP="005F7F86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ПРН-3: Проводити збір і інтегрований аналіз матеріалів з різних джерел, аналізувати їх та узагальнювати у відповідності до наукових критеріїв.</w:t>
            </w:r>
          </w:p>
          <w:p w:rsidR="005F7F86" w:rsidRPr="004675E0" w:rsidRDefault="005F7F86" w:rsidP="005F7F86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ПРН-4: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відносин.</w:t>
            </w:r>
          </w:p>
          <w:p w:rsidR="005F7F86" w:rsidRPr="004675E0" w:rsidRDefault="005F7F86" w:rsidP="005F7F86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 xml:space="preserve">ПРН-5: Швидко знаходити потрібну інформацію, обробляти й аналізувати її, оцінювати за достовірністю та </w:t>
            </w:r>
            <w:proofErr w:type="spellStart"/>
            <w:r w:rsidRPr="004675E0">
              <w:rPr>
                <w:sz w:val="28"/>
                <w:szCs w:val="28"/>
                <w:lang w:val="uk-UA"/>
              </w:rPr>
              <w:t>релевантністю</w:t>
            </w:r>
            <w:proofErr w:type="spellEnd"/>
            <w:r w:rsidRPr="004675E0">
              <w:rPr>
                <w:sz w:val="28"/>
                <w:szCs w:val="28"/>
                <w:lang w:val="uk-UA"/>
              </w:rPr>
              <w:t>, аналізувати зібрану й оброблену інформацію про стан міжнародних відносин, зовнішньої політики України та інших держав, складати аналітичні довідки, звіти й інші форми представлення результатів аналізу з правильним оформленням посилань на норми міжнародного та національного (українського та закордонного) права.</w:t>
            </w:r>
          </w:p>
          <w:p w:rsidR="005F7F86" w:rsidRPr="004675E0" w:rsidRDefault="005F7F86" w:rsidP="005F7F86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ПРН-10: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      </w:r>
          </w:p>
          <w:p w:rsidR="005F7F86" w:rsidRPr="004675E0" w:rsidRDefault="005F7F86" w:rsidP="005F7F86">
            <w:pPr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ПРН-11: Надавати юридичні висновки й консультації, юридичний супровід основних видів міжнародної співпраці та зовнішньоекономічних операцій, формулювати юридичну позицію в інтересах клієнта.</w:t>
            </w:r>
          </w:p>
          <w:p w:rsidR="005F7F86" w:rsidRPr="004675E0" w:rsidRDefault="005F7F86" w:rsidP="005F7F86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4675E0" w:rsidRDefault="00A961F4" w:rsidP="00E75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75E0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  <w:r w:rsidR="002F3CE8" w:rsidRPr="004675E0">
              <w:rPr>
                <w:b/>
                <w:sz w:val="28"/>
                <w:szCs w:val="28"/>
                <w:lang w:val="uk-UA"/>
              </w:rPr>
              <w:t xml:space="preserve">. Організація навчання </w:t>
            </w:r>
          </w:p>
        </w:tc>
      </w:tr>
      <w:tr w:rsidR="002F3CE8" w:rsidRPr="004675E0">
        <w:trPr>
          <w:gridAfter w:val="1"/>
          <w:wAfter w:w="11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4675E0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4675E0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392" w:type="dxa"/>
            <w:vMerge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р.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92" w:type="dxa"/>
            <w:vMerge w:val="restart"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F9442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Тема 1. Загальна характеристика та суть права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92" w:type="dxa"/>
            <w:vMerge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49251D">
            <w:pPr>
              <w:pStyle w:val="31"/>
              <w:ind w:left="0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Тема 2. Еволюція договірно-правових засад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392" w:type="dxa"/>
            <w:vMerge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49251D">
            <w:pPr>
              <w:pStyle w:val="31"/>
              <w:ind w:left="0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Тема 3. Політико-правова природа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2" w:type="dxa"/>
            <w:vMerge w:val="restart"/>
            <w:shd w:val="clear" w:color="auto" w:fill="auto"/>
          </w:tcPr>
          <w:p w:rsidR="00A961F4" w:rsidRPr="004675E0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Інституційний механізм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2" w:type="dxa"/>
            <w:vMerge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19173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 </w:t>
            </w: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Законодавчий процес у Європейському Союзі.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2" w:type="dxa"/>
            <w:vMerge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040ED" w:rsidRPr="004675E0" w:rsidRDefault="00035453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Тема 6. Права людини у Європейському Союзі.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40ED" w:rsidRPr="004675E0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392" w:type="dxa"/>
            <w:shd w:val="clear" w:color="auto" w:fill="auto"/>
          </w:tcPr>
          <w:p w:rsidR="007040ED" w:rsidRPr="004675E0" w:rsidRDefault="007040ED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040ED" w:rsidRPr="004675E0" w:rsidRDefault="00035453" w:rsidP="0019173B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Тема 7. Внутрішній ринок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40ED" w:rsidRPr="004675E0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392" w:type="dxa"/>
            <w:shd w:val="clear" w:color="auto" w:fill="auto"/>
          </w:tcPr>
          <w:p w:rsidR="007040ED" w:rsidRPr="004675E0" w:rsidRDefault="007040ED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040ED" w:rsidRPr="004675E0" w:rsidRDefault="00035453" w:rsidP="00466778">
            <w:pPr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Тема 8. Валютна політика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40ED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2" w:type="dxa"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19173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Тема 9. Конкурентне право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392" w:type="dxa"/>
            <w:shd w:val="clear" w:color="auto" w:fill="auto"/>
          </w:tcPr>
          <w:p w:rsidR="00A961F4" w:rsidRPr="004675E0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035453" w:rsidP="0019173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proofErr w:type="spellStart"/>
            <w:r w:rsidRPr="004675E0">
              <w:rPr>
                <w:rFonts w:ascii="Times New Roman" w:hAnsi="Times New Roman" w:cs="Times New Roman"/>
                <w:sz w:val="28"/>
                <w:szCs w:val="28"/>
              </w:rPr>
              <w:t>Безпекова</w:t>
            </w:r>
            <w:proofErr w:type="spellEnd"/>
            <w:r w:rsidRPr="004675E0">
              <w:rPr>
                <w:rFonts w:ascii="Times New Roman" w:hAnsi="Times New Roman" w:cs="Times New Roman"/>
                <w:sz w:val="28"/>
                <w:szCs w:val="28"/>
              </w:rPr>
              <w:t xml:space="preserve"> політика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rPr>
          <w:trHeight w:val="62"/>
        </w:trPr>
        <w:tc>
          <w:tcPr>
            <w:tcW w:w="392" w:type="dxa"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19173B" w:rsidP="00367A7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675E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Тема 11. Інтеграція України до Європейського Союзу.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4675E0">
        <w:tblPrEx>
          <w:tblLook w:val="01E0" w:firstRow="1" w:lastRow="1" w:firstColumn="1" w:lastColumn="1" w:noHBand="0" w:noVBand="0"/>
        </w:tblPrEx>
        <w:tc>
          <w:tcPr>
            <w:tcW w:w="392" w:type="dxa"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4675E0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961F4" w:rsidRPr="004675E0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173B"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61F4"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61F4"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61F4" w:rsidRPr="004675E0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61F4"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1F4" w:rsidRPr="004675E0" w:rsidRDefault="0019173B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961F4" w:rsidRPr="004675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40ED" w:rsidRPr="004675E0" w:rsidRDefault="007040ED" w:rsidP="00BB7417">
      <w:pPr>
        <w:rPr>
          <w:vanish/>
          <w:sz w:val="28"/>
          <w:szCs w:val="28"/>
          <w:lang w:val="uk-UA"/>
        </w:rPr>
      </w:pPr>
    </w:p>
    <w:p w:rsidR="007040ED" w:rsidRPr="004675E0" w:rsidRDefault="007040ED" w:rsidP="00BB7417">
      <w:pPr>
        <w:rPr>
          <w:vanish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447"/>
      </w:tblGrid>
      <w:tr w:rsidR="002F3CE8" w:rsidRPr="004675E0">
        <w:tc>
          <w:tcPr>
            <w:tcW w:w="9345" w:type="dxa"/>
            <w:gridSpan w:val="2"/>
            <w:shd w:val="clear" w:color="auto" w:fill="auto"/>
          </w:tcPr>
          <w:p w:rsidR="002F3CE8" w:rsidRPr="004675E0" w:rsidRDefault="00B35A0A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675E0">
              <w:rPr>
                <w:b/>
                <w:sz w:val="28"/>
                <w:szCs w:val="28"/>
                <w:lang w:val="uk-UA"/>
              </w:rPr>
              <w:t>5</w:t>
            </w:r>
            <w:r w:rsidR="002F3CE8" w:rsidRPr="004675E0">
              <w:rPr>
                <w:b/>
                <w:sz w:val="28"/>
                <w:szCs w:val="28"/>
                <w:lang w:val="uk-UA"/>
              </w:rPr>
              <w:t xml:space="preserve">. </w:t>
            </w:r>
            <w:r w:rsidR="00294049" w:rsidRPr="004675E0">
              <w:rPr>
                <w:b/>
                <w:sz w:val="28"/>
                <w:szCs w:val="28"/>
                <w:lang w:val="uk-UA"/>
              </w:rPr>
              <w:t>Політика</w:t>
            </w:r>
            <w:r w:rsidR="002F3CE8" w:rsidRPr="004675E0">
              <w:rPr>
                <w:b/>
                <w:sz w:val="28"/>
                <w:szCs w:val="28"/>
                <w:lang w:val="uk-UA"/>
              </w:rPr>
              <w:t xml:space="preserve"> навчальної дисципліни</w:t>
            </w:r>
          </w:p>
        </w:tc>
      </w:tr>
      <w:tr w:rsidR="002F3CE8" w:rsidRPr="004675E0">
        <w:tc>
          <w:tcPr>
            <w:tcW w:w="1898" w:type="dxa"/>
            <w:shd w:val="clear" w:color="auto" w:fill="auto"/>
          </w:tcPr>
          <w:p w:rsidR="002F3CE8" w:rsidRPr="004675E0" w:rsidRDefault="00500C5D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675E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Загальна система оцінювання курсу</w:t>
            </w:r>
          </w:p>
        </w:tc>
        <w:tc>
          <w:tcPr>
            <w:tcW w:w="7447" w:type="dxa"/>
            <w:shd w:val="clear" w:color="auto" w:fill="auto"/>
          </w:tcPr>
          <w:p w:rsidR="002F3CE8" w:rsidRPr="004675E0" w:rsidRDefault="00500C5D" w:rsidP="004656F2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4675E0">
              <w:rPr>
                <w:rFonts w:eastAsia="TimesNewRomanPSMT"/>
                <w:sz w:val="28"/>
                <w:szCs w:val="28"/>
                <w:lang w:val="uk-UA" w:eastAsia="en-US"/>
              </w:rPr>
              <w:t>Участь в роботі впродовж семестру – 50% від загальної оцінки. Екзамен: 50% від загальної оцінки. Екзамен усний згідно з переліком питань.</w:t>
            </w:r>
          </w:p>
        </w:tc>
      </w:tr>
      <w:tr w:rsidR="005B6078" w:rsidRPr="004675E0">
        <w:tc>
          <w:tcPr>
            <w:tcW w:w="1898" w:type="dxa"/>
            <w:shd w:val="clear" w:color="auto" w:fill="auto"/>
          </w:tcPr>
          <w:p w:rsidR="005B6078" w:rsidRPr="004675E0" w:rsidRDefault="005B6078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675E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447" w:type="dxa"/>
            <w:shd w:val="clear" w:color="auto" w:fill="auto"/>
          </w:tcPr>
          <w:p w:rsidR="005B6078" w:rsidRPr="004675E0" w:rsidRDefault="005B6078" w:rsidP="004656F2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4675E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Обов’язкова присутність на лекційних заняттях. 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</w:t>
            </w:r>
            <w:proofErr w:type="spellStart"/>
            <w:r w:rsidRPr="004675E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обовя’язково</w:t>
            </w:r>
            <w:proofErr w:type="spellEnd"/>
            <w:r w:rsidRPr="004675E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. Відпрацювання семінарських занять (можливе шляхом виконання тесту) здійснюється протягом двох тижнів з моменту пропуску заняття або отримання незадовільної оцінки на занятті. </w:t>
            </w:r>
          </w:p>
        </w:tc>
      </w:tr>
      <w:tr w:rsidR="002F3CE8" w:rsidRPr="004675E0">
        <w:tc>
          <w:tcPr>
            <w:tcW w:w="9345" w:type="dxa"/>
            <w:gridSpan w:val="2"/>
            <w:shd w:val="clear" w:color="auto" w:fill="auto"/>
          </w:tcPr>
          <w:p w:rsidR="002F3CE8" w:rsidRPr="004675E0" w:rsidRDefault="002F3CE8" w:rsidP="004656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CE8" w:rsidRPr="004675E0">
        <w:tc>
          <w:tcPr>
            <w:tcW w:w="9345" w:type="dxa"/>
            <w:gridSpan w:val="2"/>
            <w:shd w:val="clear" w:color="auto" w:fill="auto"/>
          </w:tcPr>
          <w:p w:rsidR="00BA095D" w:rsidRPr="004675E0" w:rsidRDefault="00BA095D" w:rsidP="00BA095D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675E0">
              <w:rPr>
                <w:bCs/>
                <w:iCs/>
                <w:sz w:val="28"/>
                <w:szCs w:val="28"/>
                <w:lang w:val="uk-UA"/>
              </w:rPr>
              <w:t>Організація та здійснення діяльності при викладанні навчальної дисципліни «</w:t>
            </w:r>
            <w:r w:rsidR="00D56125" w:rsidRPr="004675E0">
              <w:rPr>
                <w:bCs/>
                <w:iCs/>
                <w:sz w:val="28"/>
                <w:szCs w:val="28"/>
                <w:lang w:val="uk-UA"/>
              </w:rPr>
              <w:t>П</w:t>
            </w:r>
            <w:r w:rsidRPr="004675E0">
              <w:rPr>
                <w:bCs/>
                <w:iCs/>
                <w:sz w:val="28"/>
                <w:szCs w:val="28"/>
                <w:lang w:val="uk-UA"/>
              </w:rPr>
              <w:t>раво</w:t>
            </w:r>
            <w:r w:rsidR="00D56125" w:rsidRPr="004675E0">
              <w:rPr>
                <w:bCs/>
                <w:iCs/>
                <w:sz w:val="28"/>
                <w:szCs w:val="28"/>
                <w:lang w:val="uk-UA"/>
              </w:rPr>
              <w:t xml:space="preserve"> ЄС</w:t>
            </w:r>
            <w:r w:rsidRPr="004675E0">
              <w:rPr>
                <w:bCs/>
                <w:iCs/>
                <w:sz w:val="28"/>
                <w:szCs w:val="28"/>
                <w:lang w:val="uk-UA"/>
              </w:rPr>
              <w:t>» здійснюються на основі комплексного підходу з використанням таких методів навчання: лекції, семінарські заняття,</w:t>
            </w:r>
            <w:r w:rsidRPr="004675E0">
              <w:rPr>
                <w:sz w:val="28"/>
                <w:szCs w:val="28"/>
                <w:lang w:val="uk-UA"/>
              </w:rPr>
              <w:t xml:space="preserve"> семінари-дискусії, презентації-виступи, кейс-метод (метод </w:t>
            </w:r>
            <w:proofErr w:type="spellStart"/>
            <w:r w:rsidRPr="004675E0">
              <w:rPr>
                <w:sz w:val="28"/>
                <w:szCs w:val="28"/>
                <w:lang w:val="uk-UA"/>
              </w:rPr>
              <w:t>case-study</w:t>
            </w:r>
            <w:proofErr w:type="spellEnd"/>
            <w:r w:rsidRPr="004675E0">
              <w:rPr>
                <w:sz w:val="28"/>
                <w:szCs w:val="28"/>
                <w:lang w:val="uk-UA"/>
              </w:rPr>
              <w:t>),</w:t>
            </w:r>
            <w:r w:rsidRPr="004675E0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675E0">
              <w:rPr>
                <w:sz w:val="28"/>
                <w:szCs w:val="28"/>
                <w:lang w:val="uk-UA"/>
              </w:rPr>
              <w:t>робота в малих групах,</w:t>
            </w:r>
            <w:r w:rsidRPr="004675E0">
              <w:rPr>
                <w:bCs/>
                <w:iCs/>
                <w:sz w:val="28"/>
                <w:szCs w:val="28"/>
                <w:lang w:val="uk-UA"/>
              </w:rPr>
              <w:t xml:space="preserve"> самостійна робота, підготовка та захист доповідей.</w:t>
            </w:r>
          </w:p>
          <w:p w:rsidR="003A2FF0" w:rsidRPr="004675E0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675E0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Семінарські заняття:</w:t>
            </w:r>
            <w:r w:rsidRPr="004675E0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23484F" w:rsidRPr="004675E0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4675E0">
              <w:rPr>
                <w:rFonts w:eastAsia="TimesNewRomanPSMT"/>
                <w:sz w:val="28"/>
                <w:szCs w:val="28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4675E0" w:rsidRDefault="002F3CE8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4675E0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Письмові роботи:</w:t>
            </w:r>
          </w:p>
          <w:p w:rsidR="003A2FF0" w:rsidRPr="004675E0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4675E0">
              <w:rPr>
                <w:rFonts w:eastAsia="TimesNewRomanPSMT"/>
                <w:sz w:val="28"/>
                <w:szCs w:val="28"/>
                <w:lang w:val="uk-UA" w:eastAsia="en-US"/>
              </w:rPr>
              <w:t>Планується виконання студентами пись</w:t>
            </w:r>
            <w:r w:rsidR="00CD1339" w:rsidRPr="004675E0">
              <w:rPr>
                <w:rFonts w:eastAsia="TimesNewRomanPSMT"/>
                <w:sz w:val="28"/>
                <w:szCs w:val="28"/>
                <w:lang w:val="uk-UA" w:eastAsia="en-US"/>
              </w:rPr>
              <w:t>мових тестових завдань, експрес-опитувань за темами навчальної дисципліни</w:t>
            </w:r>
            <w:r w:rsidR="003A2FF0" w:rsidRPr="004675E0">
              <w:rPr>
                <w:rFonts w:eastAsia="TimesNewRomanPSMT"/>
                <w:sz w:val="28"/>
                <w:szCs w:val="28"/>
                <w:lang w:val="uk-UA" w:eastAsia="en-US"/>
              </w:rPr>
              <w:t xml:space="preserve">. </w:t>
            </w:r>
            <w:r w:rsidR="003A2FF0"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Обсяг письмових робіт – до 500 </w:t>
            </w:r>
            <w:r w:rsidR="003A2FF0"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lastRenderedPageBreak/>
              <w:t>слів. Письмові роботи повинні подаватись вчасно. Оцінюється якість та оригінальність наведених аргументів.</w:t>
            </w:r>
          </w:p>
          <w:p w:rsidR="002F3CE8" w:rsidRPr="004675E0" w:rsidRDefault="002F3CE8" w:rsidP="004656F2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4675E0" w:rsidRDefault="00D816B9" w:rsidP="004656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незарахуванння</w:t>
            </w:r>
            <w:proofErr w:type="spellEnd"/>
            <w:r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4675E0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4675E0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Відвідування занять</w:t>
            </w:r>
            <w:r w:rsidR="003A2FF0" w:rsidRPr="004675E0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 xml:space="preserve">: </w:t>
            </w:r>
          </w:p>
          <w:p w:rsidR="00AF4701" w:rsidRPr="004675E0" w:rsidRDefault="00CD1339" w:rsidP="0049251D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4675E0">
              <w:rPr>
                <w:rFonts w:eastAsia="TimesNewRomanPSMT"/>
                <w:sz w:val="28"/>
                <w:szCs w:val="28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4675E0">
              <w:rPr>
                <w:sz w:val="28"/>
                <w:szCs w:val="28"/>
                <w:lang w:val="uk-UA"/>
              </w:rPr>
              <w:t>навчальної дисципліни</w:t>
            </w:r>
            <w:r w:rsidRPr="004675E0">
              <w:rPr>
                <w:rFonts w:eastAsia="TimesNewRomanPSMT"/>
                <w:sz w:val="28"/>
                <w:szCs w:val="28"/>
                <w:lang w:val="uk-UA" w:eastAsia="en-US"/>
              </w:rPr>
              <w:t>.</w:t>
            </w:r>
            <w:r w:rsidR="00D816B9"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програмою</w:t>
            </w:r>
            <w:r w:rsidR="00D816B9" w:rsidRPr="004675E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Студенти, які пропустили 1/3 аудиторних занять і не відпрацювали їх до кінця семестру, не допускають до складання іспиту. </w:t>
            </w:r>
          </w:p>
        </w:tc>
      </w:tr>
      <w:tr w:rsidR="002F3CE8" w:rsidRPr="004675E0">
        <w:tc>
          <w:tcPr>
            <w:tcW w:w="9345" w:type="dxa"/>
            <w:gridSpan w:val="2"/>
            <w:shd w:val="clear" w:color="auto" w:fill="auto"/>
          </w:tcPr>
          <w:p w:rsidR="00294049" w:rsidRPr="00466778" w:rsidRDefault="00294049" w:rsidP="002940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F3CE8"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  <w:p w:rsidR="00294049" w:rsidRPr="004675E0" w:rsidRDefault="00294049" w:rsidP="00294049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2F3CE8" w:rsidRPr="004675E0" w:rsidRDefault="002F3CE8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F3CE8" w:rsidRPr="004675E0">
        <w:tc>
          <w:tcPr>
            <w:tcW w:w="9345" w:type="dxa"/>
            <w:gridSpan w:val="2"/>
            <w:shd w:val="clear" w:color="auto" w:fill="auto"/>
          </w:tcPr>
          <w:p w:rsidR="00294049" w:rsidRPr="004675E0" w:rsidRDefault="00294049" w:rsidP="00294049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4675E0">
              <w:rPr>
                <w:sz w:val="28"/>
                <w:szCs w:val="28"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4675E0" w:rsidRDefault="002F3CE8" w:rsidP="00D5612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6470" w:rsidRPr="004675E0" w:rsidRDefault="00EC6470" w:rsidP="00AF4701">
      <w:pPr>
        <w:jc w:val="both"/>
        <w:rPr>
          <w:sz w:val="28"/>
          <w:szCs w:val="28"/>
          <w:lang w:val="uk-UA"/>
        </w:rPr>
      </w:pPr>
    </w:p>
    <w:sectPr w:rsidR="00EC6470" w:rsidRPr="004675E0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63FF"/>
    <w:multiLevelType w:val="hybridMultilevel"/>
    <w:tmpl w:val="1C0A07A6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4A3E8B"/>
    <w:multiLevelType w:val="hybridMultilevel"/>
    <w:tmpl w:val="5BF88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EED"/>
    <w:multiLevelType w:val="hybridMultilevel"/>
    <w:tmpl w:val="E410C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0D6A"/>
    <w:multiLevelType w:val="hybridMultilevel"/>
    <w:tmpl w:val="7DEAEC36"/>
    <w:lvl w:ilvl="0" w:tplc="85D49D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C5EAA"/>
    <w:multiLevelType w:val="hybridMultilevel"/>
    <w:tmpl w:val="ED3A57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F0457C"/>
    <w:multiLevelType w:val="hybridMultilevel"/>
    <w:tmpl w:val="E7C04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1BE7B26"/>
    <w:multiLevelType w:val="hybridMultilevel"/>
    <w:tmpl w:val="AE360446"/>
    <w:lvl w:ilvl="0" w:tplc="757234A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D7402"/>
    <w:multiLevelType w:val="hybridMultilevel"/>
    <w:tmpl w:val="79A2D2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4111"/>
    <w:multiLevelType w:val="hybridMultilevel"/>
    <w:tmpl w:val="1C0A07A6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10819E3"/>
    <w:multiLevelType w:val="hybridMultilevel"/>
    <w:tmpl w:val="78BAD224"/>
    <w:lvl w:ilvl="0" w:tplc="6528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A6F9C"/>
    <w:multiLevelType w:val="hybridMultilevel"/>
    <w:tmpl w:val="E466D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20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0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35453"/>
    <w:rsid w:val="0006422F"/>
    <w:rsid w:val="00070BC6"/>
    <w:rsid w:val="000A38A3"/>
    <w:rsid w:val="000C19C3"/>
    <w:rsid w:val="000D3FD4"/>
    <w:rsid w:val="000D5626"/>
    <w:rsid w:val="000F5100"/>
    <w:rsid w:val="00120CEB"/>
    <w:rsid w:val="00124860"/>
    <w:rsid w:val="0019173B"/>
    <w:rsid w:val="001B5196"/>
    <w:rsid w:val="001C183A"/>
    <w:rsid w:val="001E0A79"/>
    <w:rsid w:val="001E68BE"/>
    <w:rsid w:val="001F4FCD"/>
    <w:rsid w:val="0023484F"/>
    <w:rsid w:val="00242AB9"/>
    <w:rsid w:val="00243C54"/>
    <w:rsid w:val="00263BA9"/>
    <w:rsid w:val="00265BE7"/>
    <w:rsid w:val="00294049"/>
    <w:rsid w:val="002A68A0"/>
    <w:rsid w:val="002C5DD4"/>
    <w:rsid w:val="002F3CE8"/>
    <w:rsid w:val="00367A78"/>
    <w:rsid w:val="00376470"/>
    <w:rsid w:val="003A2FF0"/>
    <w:rsid w:val="003B6C3A"/>
    <w:rsid w:val="003F5E99"/>
    <w:rsid w:val="003F7AA4"/>
    <w:rsid w:val="00461C20"/>
    <w:rsid w:val="004656F2"/>
    <w:rsid w:val="00466778"/>
    <w:rsid w:val="004675E0"/>
    <w:rsid w:val="00481019"/>
    <w:rsid w:val="0049251D"/>
    <w:rsid w:val="00500C5D"/>
    <w:rsid w:val="00547FBC"/>
    <w:rsid w:val="00594D0D"/>
    <w:rsid w:val="005B6078"/>
    <w:rsid w:val="005E61D0"/>
    <w:rsid w:val="005F7F86"/>
    <w:rsid w:val="00602B73"/>
    <w:rsid w:val="006A1DBE"/>
    <w:rsid w:val="006B1DFB"/>
    <w:rsid w:val="007040ED"/>
    <w:rsid w:val="00705845"/>
    <w:rsid w:val="00707BBB"/>
    <w:rsid w:val="00715CB1"/>
    <w:rsid w:val="00717F40"/>
    <w:rsid w:val="00721C0B"/>
    <w:rsid w:val="007C5161"/>
    <w:rsid w:val="007D31DD"/>
    <w:rsid w:val="00803153"/>
    <w:rsid w:val="008059DF"/>
    <w:rsid w:val="00830195"/>
    <w:rsid w:val="00882427"/>
    <w:rsid w:val="00890975"/>
    <w:rsid w:val="008C7BDF"/>
    <w:rsid w:val="008F378C"/>
    <w:rsid w:val="0090046F"/>
    <w:rsid w:val="00952A20"/>
    <w:rsid w:val="00972B57"/>
    <w:rsid w:val="00990589"/>
    <w:rsid w:val="009F3F42"/>
    <w:rsid w:val="00A0711D"/>
    <w:rsid w:val="00A07CD2"/>
    <w:rsid w:val="00A42BE2"/>
    <w:rsid w:val="00A54FB3"/>
    <w:rsid w:val="00A7506C"/>
    <w:rsid w:val="00A91D72"/>
    <w:rsid w:val="00A961F4"/>
    <w:rsid w:val="00AC69E9"/>
    <w:rsid w:val="00AD46F1"/>
    <w:rsid w:val="00AF4701"/>
    <w:rsid w:val="00B35A0A"/>
    <w:rsid w:val="00B55E81"/>
    <w:rsid w:val="00BA095D"/>
    <w:rsid w:val="00BB7417"/>
    <w:rsid w:val="00BE5C09"/>
    <w:rsid w:val="00C0202A"/>
    <w:rsid w:val="00C43E43"/>
    <w:rsid w:val="00C74161"/>
    <w:rsid w:val="00CD1339"/>
    <w:rsid w:val="00D244A1"/>
    <w:rsid w:val="00D56125"/>
    <w:rsid w:val="00D816B9"/>
    <w:rsid w:val="00E756F0"/>
    <w:rsid w:val="00E86462"/>
    <w:rsid w:val="00EC6470"/>
    <w:rsid w:val="00F01EE7"/>
    <w:rsid w:val="00F232F6"/>
    <w:rsid w:val="00F94427"/>
    <w:rsid w:val="00FD051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BF2DA6"/>
  <w15:chartTrackingRefBased/>
  <w15:docId w15:val="{2A4027A1-C729-464A-B237-347BE2EC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67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corrected">
    <w:name w:val="variant corrected"/>
    <w:rsid w:val="00F01EE7"/>
  </w:style>
  <w:style w:type="character" w:customStyle="1" w:styleId="variant1">
    <w:name w:val="variant1"/>
    <w:rsid w:val="00602B73"/>
    <w:rPr>
      <w:color w:val="0000FF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830195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830195"/>
    <w:rPr>
      <w:rFonts w:eastAsia="SimSun"/>
      <w:lang w:val="ru-RU" w:eastAsia="ru-RU"/>
    </w:rPr>
  </w:style>
  <w:style w:type="character" w:styleId="ad">
    <w:name w:val="Emphasis"/>
    <w:uiPriority w:val="20"/>
    <w:qFormat/>
    <w:rsid w:val="0006422F"/>
    <w:rPr>
      <w:rFonts w:cs="Times New Roman"/>
      <w:i/>
      <w:iCs/>
    </w:rPr>
  </w:style>
  <w:style w:type="character" w:customStyle="1" w:styleId="105pt">
    <w:name w:val="Основной текст + 10;5 pt;Полужирный"/>
    <w:rsid w:val="0006422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31">
    <w:name w:val="Body Text Indent 3"/>
    <w:basedOn w:val="a"/>
    <w:link w:val="32"/>
    <w:uiPriority w:val="99"/>
    <w:unhideWhenUsed/>
    <w:rsid w:val="007040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040ED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Заголовок 3 Знак"/>
    <w:link w:val="3"/>
    <w:rsid w:val="00367A7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99058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s.in.ua/pravo_es-shporu/2458-dogovr-pro-yevropeyskiy-soyuz-maastrihtskiy-dogovr-1992-r.html" TargetMode="External"/><Relationship Id="rId5" Type="http://schemas.openxmlformats.org/officeDocument/2006/relationships/hyperlink" Target="http://studies.in.ua/pravo_es-shporu/2456-yediniy-yevropeyskiy-akt-1986-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6041</Words>
  <Characters>3444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АДВОКАТУРИ УКРАЇНИ</vt:lpstr>
    </vt:vector>
  </TitlesOfParts>
  <Company/>
  <LinksUpToDate>false</LinksUpToDate>
  <CharactersWithSpaces>9467</CharactersWithSpaces>
  <SharedDoc>false</SharedDoc>
  <HLinks>
    <vt:vector size="24" baseType="variant">
      <vt:variant>
        <vt:i4>4784180</vt:i4>
      </vt:variant>
      <vt:variant>
        <vt:i4>9</vt:i4>
      </vt:variant>
      <vt:variant>
        <vt:i4>0</vt:i4>
      </vt:variant>
      <vt:variant>
        <vt:i4>5</vt:i4>
      </vt:variant>
      <vt:variant>
        <vt:lpwstr>http://studies.in.ua/pravo_es-shporu/2458-dogovr-pro-yevropeyskiy-soyuz-maastrihtskiy-dogovr-1992-r.html</vt:lpwstr>
      </vt:variant>
      <vt:variant>
        <vt:lpwstr/>
      </vt:variant>
      <vt:variant>
        <vt:i4>3932180</vt:i4>
      </vt:variant>
      <vt:variant>
        <vt:i4>6</vt:i4>
      </vt:variant>
      <vt:variant>
        <vt:i4>0</vt:i4>
      </vt:variant>
      <vt:variant>
        <vt:i4>5</vt:i4>
      </vt:variant>
      <vt:variant>
        <vt:lpwstr>http://studies.in.ua/pravo_es-shporu/2456-yediniy-yevropeyskiy-akt-1986-r.html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http://studies.in.ua/pravo_es-shporu/2455-dogovr-pro-stvorennya-yevropeyskogo-ekonomchnogo-spvtovaristva.html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http://studies.in.ua/pravo_es-shporu/2189-parizkiy-dogovr-1951-r.html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Користувач Windows</dc:creator>
  <cp:keywords/>
  <cp:lastModifiedBy>Гончаренко С.В.</cp:lastModifiedBy>
  <cp:revision>2</cp:revision>
  <dcterms:created xsi:type="dcterms:W3CDTF">2020-02-12T15:32:00Z</dcterms:created>
  <dcterms:modified xsi:type="dcterms:W3CDTF">2020-02-12T15:32:00Z</dcterms:modified>
</cp:coreProperties>
</file>