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4D10BA" w:rsidRDefault="00DB5965" w:rsidP="002F3CE8">
      <w:pPr>
        <w:jc w:val="center"/>
        <w:rPr>
          <w:b/>
          <w:sz w:val="20"/>
          <w:szCs w:val="28"/>
          <w:u w:val="single"/>
          <w:lang w:val="uk-UA"/>
        </w:rPr>
      </w:pPr>
      <w:bookmarkStart w:id="0" w:name="_GoBack"/>
      <w:r w:rsidRPr="004D10BA">
        <w:rPr>
          <w:rFonts w:ascii="Times New Roman CYR" w:hAnsi="Times New Roman CYR" w:cs="Times New Roman CYR"/>
          <w:b/>
          <w:sz w:val="32"/>
          <w:szCs w:val="40"/>
          <w:lang w:val="uk-UA"/>
        </w:rPr>
        <w:t>Державне (конституційне) право зарубіжних країн</w:t>
      </w:r>
    </w:p>
    <w:bookmarkEnd w:id="0"/>
    <w:p w:rsidR="002F3CE8" w:rsidRPr="004D10BA" w:rsidRDefault="00ED650E" w:rsidP="002F3CE8">
      <w:pPr>
        <w:jc w:val="center"/>
        <w:rPr>
          <w:sz w:val="28"/>
          <w:szCs w:val="28"/>
          <w:lang w:val="uk-UA"/>
        </w:rPr>
      </w:pPr>
      <w:r w:rsidRPr="004D10BA">
        <w:rPr>
          <w:sz w:val="28"/>
          <w:szCs w:val="28"/>
          <w:lang w:val="uk-UA"/>
        </w:rPr>
        <w:t>(</w:t>
      </w:r>
      <w:proofErr w:type="spellStart"/>
      <w:r w:rsidRPr="004D10BA">
        <w:rPr>
          <w:sz w:val="28"/>
          <w:szCs w:val="28"/>
          <w:lang w:val="uk-UA"/>
        </w:rPr>
        <w:t>силабус</w:t>
      </w:r>
      <w:proofErr w:type="spellEnd"/>
      <w:r w:rsidRPr="004D10BA">
        <w:rPr>
          <w:sz w:val="28"/>
          <w:szCs w:val="28"/>
          <w:lang w:val="uk-UA"/>
        </w:rPr>
        <w:t xml:space="preserve"> дисципліни)</w:t>
      </w:r>
    </w:p>
    <w:p w:rsidR="00ED650E" w:rsidRDefault="00ED650E" w:rsidP="002F3CE8">
      <w:pPr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917"/>
      </w:tblGrid>
      <w:tr w:rsidR="002F3CE8" w:rsidRPr="004D10BA" w:rsidTr="004D10BA">
        <w:tc>
          <w:tcPr>
            <w:tcW w:w="9464" w:type="dxa"/>
            <w:gridSpan w:val="2"/>
            <w:shd w:val="clear" w:color="auto" w:fill="auto"/>
          </w:tcPr>
          <w:p w:rsidR="002F3CE8" w:rsidRPr="004D10BA" w:rsidRDefault="002F3CE8" w:rsidP="00E756F0">
            <w:pPr>
              <w:jc w:val="center"/>
              <w:rPr>
                <w:lang w:val="uk-UA"/>
              </w:rPr>
            </w:pPr>
            <w:r w:rsidRPr="004D10BA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4D10BA" w:rsidTr="004D10BA">
        <w:tc>
          <w:tcPr>
            <w:tcW w:w="2547" w:type="dxa"/>
            <w:shd w:val="clear" w:color="auto" w:fill="auto"/>
          </w:tcPr>
          <w:p w:rsidR="002F3CE8" w:rsidRPr="004D10BA" w:rsidRDefault="002F3CE8" w:rsidP="00E756F0">
            <w:pPr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Назва дисципліни</w:t>
            </w:r>
          </w:p>
        </w:tc>
        <w:tc>
          <w:tcPr>
            <w:tcW w:w="6917" w:type="dxa"/>
            <w:shd w:val="clear" w:color="auto" w:fill="auto"/>
          </w:tcPr>
          <w:p w:rsidR="002F3CE8" w:rsidRPr="004D10BA" w:rsidRDefault="00DB5965" w:rsidP="00F232F6">
            <w:pPr>
              <w:jc w:val="both"/>
              <w:rPr>
                <w:lang w:val="uk-UA"/>
              </w:rPr>
            </w:pPr>
            <w:r w:rsidRPr="004D10BA">
              <w:rPr>
                <w:lang w:val="uk-UA"/>
              </w:rPr>
              <w:t>Державне (конституційне) право зарубіжних країн</w:t>
            </w:r>
          </w:p>
        </w:tc>
      </w:tr>
      <w:tr w:rsidR="002F3CE8" w:rsidRPr="004D10BA" w:rsidTr="004D10BA">
        <w:tc>
          <w:tcPr>
            <w:tcW w:w="2547" w:type="dxa"/>
            <w:shd w:val="clear" w:color="auto" w:fill="auto"/>
          </w:tcPr>
          <w:p w:rsidR="002F3CE8" w:rsidRPr="004D10BA" w:rsidRDefault="002F3CE8" w:rsidP="00E756F0">
            <w:pPr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Викладач (-і)</w:t>
            </w:r>
          </w:p>
        </w:tc>
        <w:tc>
          <w:tcPr>
            <w:tcW w:w="6917" w:type="dxa"/>
            <w:shd w:val="clear" w:color="auto" w:fill="auto"/>
          </w:tcPr>
          <w:p w:rsidR="002F3CE8" w:rsidRPr="004D10BA" w:rsidRDefault="001C46D4" w:rsidP="00A0711D">
            <w:pPr>
              <w:jc w:val="both"/>
              <w:rPr>
                <w:lang w:val="uk-UA"/>
              </w:rPr>
            </w:pPr>
            <w:proofErr w:type="spellStart"/>
            <w:r w:rsidRPr="004D10BA">
              <w:rPr>
                <w:lang w:val="uk-UA"/>
              </w:rPr>
              <w:t>Астрова</w:t>
            </w:r>
            <w:proofErr w:type="spellEnd"/>
            <w:r w:rsidRPr="004D10BA">
              <w:rPr>
                <w:lang w:val="uk-UA"/>
              </w:rPr>
              <w:t xml:space="preserve"> Лариса Миколаївна, старший викладач кафедри кримінального та адміністративного права </w:t>
            </w:r>
          </w:p>
        </w:tc>
      </w:tr>
      <w:tr w:rsidR="002F3CE8" w:rsidRPr="004D10BA" w:rsidTr="004D10BA">
        <w:tc>
          <w:tcPr>
            <w:tcW w:w="2547" w:type="dxa"/>
            <w:shd w:val="clear" w:color="auto" w:fill="auto"/>
          </w:tcPr>
          <w:p w:rsidR="002F3CE8" w:rsidRPr="004D10BA" w:rsidRDefault="002F3CE8" w:rsidP="00E756F0">
            <w:pPr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917" w:type="dxa"/>
            <w:shd w:val="clear" w:color="auto" w:fill="auto"/>
          </w:tcPr>
          <w:p w:rsidR="002F3CE8" w:rsidRPr="004D10BA" w:rsidRDefault="002F3CE8" w:rsidP="00A0711D">
            <w:pPr>
              <w:jc w:val="both"/>
              <w:rPr>
                <w:lang w:val="uk-UA"/>
              </w:rPr>
            </w:pPr>
            <w:r w:rsidRPr="004D10BA">
              <w:rPr>
                <w:lang w:val="uk-UA"/>
              </w:rPr>
              <w:t>(</w:t>
            </w:r>
            <w:r w:rsidR="00E47043" w:rsidRPr="004D10BA">
              <w:rPr>
                <w:lang w:val="uk-UA"/>
              </w:rPr>
              <w:t>067</w:t>
            </w:r>
            <w:r w:rsidRPr="004D10BA">
              <w:rPr>
                <w:lang w:val="uk-UA"/>
              </w:rPr>
              <w:t xml:space="preserve">) </w:t>
            </w:r>
            <w:r w:rsidR="00E47043" w:rsidRPr="004D10BA">
              <w:rPr>
                <w:lang w:val="uk-UA"/>
              </w:rPr>
              <w:t>707</w:t>
            </w:r>
            <w:r w:rsidR="00A0711D" w:rsidRPr="004D10BA">
              <w:rPr>
                <w:lang w:val="uk-UA"/>
              </w:rPr>
              <w:t xml:space="preserve"> 5</w:t>
            </w:r>
            <w:r w:rsidR="00E47043" w:rsidRPr="004D10BA">
              <w:rPr>
                <w:lang w:val="uk-UA"/>
              </w:rPr>
              <w:t>7</w:t>
            </w:r>
            <w:r w:rsidR="00A0711D" w:rsidRPr="004D10BA">
              <w:rPr>
                <w:lang w:val="uk-UA"/>
              </w:rPr>
              <w:t xml:space="preserve"> </w:t>
            </w:r>
            <w:r w:rsidR="00E47043" w:rsidRPr="004D10BA">
              <w:rPr>
                <w:lang w:val="uk-UA"/>
              </w:rPr>
              <w:t>24</w:t>
            </w:r>
          </w:p>
        </w:tc>
      </w:tr>
      <w:tr w:rsidR="002F3CE8" w:rsidRPr="004D10BA" w:rsidTr="004D10BA">
        <w:tc>
          <w:tcPr>
            <w:tcW w:w="2547" w:type="dxa"/>
            <w:shd w:val="clear" w:color="auto" w:fill="auto"/>
          </w:tcPr>
          <w:p w:rsidR="002F3CE8" w:rsidRPr="004D10BA" w:rsidRDefault="002F3CE8" w:rsidP="00E756F0">
            <w:pPr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E-</w:t>
            </w:r>
            <w:proofErr w:type="spellStart"/>
            <w:r w:rsidRPr="004D10BA">
              <w:rPr>
                <w:b/>
                <w:lang w:val="uk-UA"/>
              </w:rPr>
              <w:t>mail</w:t>
            </w:r>
            <w:proofErr w:type="spellEnd"/>
            <w:r w:rsidRPr="004D10BA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917" w:type="dxa"/>
            <w:shd w:val="clear" w:color="auto" w:fill="auto"/>
          </w:tcPr>
          <w:p w:rsidR="002F3CE8" w:rsidRPr="004D10BA" w:rsidRDefault="00E47043" w:rsidP="00A0711D">
            <w:pPr>
              <w:jc w:val="both"/>
              <w:rPr>
                <w:color w:val="666666"/>
                <w:lang w:val="uk-UA"/>
              </w:rPr>
            </w:pPr>
            <w:hyperlink r:id="rId5" w:history="1">
              <w:r w:rsidRPr="004D10BA">
                <w:rPr>
                  <w:rStyle w:val="a3"/>
                  <w:lang w:val="uk-UA"/>
                </w:rPr>
                <w:t xml:space="preserve">larisajust@ukr.net </w:t>
              </w:r>
            </w:hyperlink>
          </w:p>
        </w:tc>
      </w:tr>
      <w:tr w:rsidR="002F3CE8" w:rsidRPr="004D10BA" w:rsidTr="004D10BA">
        <w:tc>
          <w:tcPr>
            <w:tcW w:w="2547" w:type="dxa"/>
            <w:shd w:val="clear" w:color="auto" w:fill="auto"/>
          </w:tcPr>
          <w:p w:rsidR="002F3CE8" w:rsidRPr="004D10BA" w:rsidRDefault="002F3CE8" w:rsidP="00E756F0">
            <w:pPr>
              <w:jc w:val="both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Обсяг дисципліни</w:t>
            </w:r>
          </w:p>
        </w:tc>
        <w:tc>
          <w:tcPr>
            <w:tcW w:w="6917" w:type="dxa"/>
            <w:shd w:val="clear" w:color="auto" w:fill="auto"/>
          </w:tcPr>
          <w:p w:rsidR="002F3CE8" w:rsidRPr="004D10BA" w:rsidRDefault="00DB5965" w:rsidP="00E756F0">
            <w:pPr>
              <w:jc w:val="both"/>
              <w:rPr>
                <w:lang w:val="uk-UA"/>
              </w:rPr>
            </w:pPr>
            <w:r w:rsidRPr="004D10BA">
              <w:rPr>
                <w:lang w:val="uk-UA"/>
              </w:rPr>
              <w:t>4</w:t>
            </w:r>
            <w:r w:rsidR="002F3CE8" w:rsidRPr="004D10BA">
              <w:rPr>
                <w:lang w:val="uk-UA"/>
              </w:rPr>
              <w:t xml:space="preserve"> кредити ЄКТС, </w:t>
            </w:r>
            <w:r w:rsidRPr="004D10BA">
              <w:rPr>
                <w:lang w:val="uk-UA"/>
              </w:rPr>
              <w:t>120</w:t>
            </w:r>
            <w:r w:rsidR="002F3CE8" w:rsidRPr="004D10BA">
              <w:rPr>
                <w:lang w:val="uk-UA"/>
              </w:rPr>
              <w:t xml:space="preserve"> год.</w:t>
            </w:r>
          </w:p>
        </w:tc>
      </w:tr>
      <w:tr w:rsidR="00AD46F1" w:rsidRPr="004D10BA" w:rsidTr="004D10BA">
        <w:tc>
          <w:tcPr>
            <w:tcW w:w="2547" w:type="dxa"/>
            <w:shd w:val="clear" w:color="auto" w:fill="auto"/>
          </w:tcPr>
          <w:p w:rsidR="00AD46F1" w:rsidRPr="004D10BA" w:rsidRDefault="00AD46F1" w:rsidP="00AD46F1">
            <w:pPr>
              <w:jc w:val="both"/>
              <w:rPr>
                <w:lang w:val="uk-UA"/>
              </w:rPr>
            </w:pPr>
            <w:r w:rsidRPr="004D10BA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6917" w:type="dxa"/>
            <w:shd w:val="clear" w:color="auto" w:fill="auto"/>
          </w:tcPr>
          <w:p w:rsidR="00AD46F1" w:rsidRPr="004D10BA" w:rsidRDefault="00AD46F1" w:rsidP="00AD46F1">
            <w:pPr>
              <w:jc w:val="both"/>
              <w:rPr>
                <w:lang w:val="uk-UA"/>
              </w:rPr>
            </w:pPr>
            <w:r w:rsidRPr="004D10BA">
              <w:rPr>
                <w:lang w:val="uk-UA"/>
              </w:rPr>
              <w:t>українська</w:t>
            </w:r>
          </w:p>
        </w:tc>
      </w:tr>
      <w:tr w:rsidR="002F3CE8" w:rsidRPr="004D10BA" w:rsidTr="004D10BA">
        <w:tc>
          <w:tcPr>
            <w:tcW w:w="2547" w:type="dxa"/>
            <w:shd w:val="clear" w:color="auto" w:fill="auto"/>
          </w:tcPr>
          <w:p w:rsidR="002F3CE8" w:rsidRPr="004D10BA" w:rsidRDefault="002F3CE8" w:rsidP="00E756F0">
            <w:pPr>
              <w:jc w:val="both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Консультації</w:t>
            </w:r>
          </w:p>
        </w:tc>
        <w:tc>
          <w:tcPr>
            <w:tcW w:w="6917" w:type="dxa"/>
            <w:shd w:val="clear" w:color="auto" w:fill="auto"/>
          </w:tcPr>
          <w:p w:rsidR="002F3CE8" w:rsidRPr="004D10BA" w:rsidRDefault="002F3CE8" w:rsidP="00ED65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10BA">
              <w:rPr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4D10BA">
              <w:rPr>
                <w:szCs w:val="28"/>
                <w:lang w:val="uk-UA"/>
              </w:rPr>
              <w:t>г</w:t>
            </w:r>
            <w:r w:rsidRPr="004D10BA">
              <w:rPr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4D10BA">
              <w:rPr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4D10BA">
              <w:rPr>
                <w:szCs w:val="28"/>
                <w:lang w:val="uk-UA"/>
              </w:rPr>
              <w:t>силабусі</w:t>
            </w:r>
            <w:proofErr w:type="spellEnd"/>
            <w:r w:rsidR="008C7BDF" w:rsidRPr="004D10BA">
              <w:rPr>
                <w:szCs w:val="28"/>
                <w:lang w:val="uk-UA"/>
              </w:rPr>
              <w:t xml:space="preserve">, зокрема, що стосується погодження планів та змісту </w:t>
            </w:r>
            <w:r w:rsidR="00873189" w:rsidRPr="004D10BA">
              <w:rPr>
                <w:szCs w:val="28"/>
                <w:lang w:val="uk-UA"/>
              </w:rPr>
              <w:t>індивідуальних творчих</w:t>
            </w:r>
            <w:r w:rsidR="008C7BDF" w:rsidRPr="004D10BA">
              <w:rPr>
                <w:szCs w:val="28"/>
                <w:lang w:val="uk-UA"/>
              </w:rPr>
              <w:t xml:space="preserve"> завдань. Відпрацювання проводяться кожного </w:t>
            </w:r>
            <w:r w:rsidR="00F00A5B" w:rsidRPr="004D10BA">
              <w:rPr>
                <w:szCs w:val="28"/>
                <w:lang w:val="uk-UA"/>
              </w:rPr>
              <w:t>понеділка</w:t>
            </w:r>
            <w:r w:rsidR="00556245" w:rsidRPr="004D10BA">
              <w:rPr>
                <w:szCs w:val="28"/>
                <w:lang w:val="uk-UA"/>
              </w:rPr>
              <w:t xml:space="preserve"> та четверга.</w:t>
            </w:r>
            <w:r w:rsidRPr="004D10BA">
              <w:rPr>
                <w:lang w:val="uk-UA"/>
              </w:rPr>
              <w:t xml:space="preserve"> </w:t>
            </w:r>
          </w:p>
        </w:tc>
      </w:tr>
      <w:tr w:rsidR="002F3CE8" w:rsidRPr="004D10BA" w:rsidTr="004D10BA">
        <w:tc>
          <w:tcPr>
            <w:tcW w:w="9464" w:type="dxa"/>
            <w:gridSpan w:val="2"/>
            <w:shd w:val="clear" w:color="auto" w:fill="auto"/>
          </w:tcPr>
          <w:p w:rsidR="002F3CE8" w:rsidRPr="004D10BA" w:rsidRDefault="002F3CE8" w:rsidP="00E756F0">
            <w:pPr>
              <w:jc w:val="center"/>
              <w:rPr>
                <w:lang w:val="uk-UA"/>
              </w:rPr>
            </w:pPr>
            <w:r w:rsidRPr="004D10BA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4D10BA" w:rsidTr="004D10BA">
        <w:tc>
          <w:tcPr>
            <w:tcW w:w="9464" w:type="dxa"/>
            <w:gridSpan w:val="2"/>
            <w:shd w:val="clear" w:color="auto" w:fill="auto"/>
          </w:tcPr>
          <w:p w:rsidR="00DB5965" w:rsidRPr="004D10BA" w:rsidRDefault="00DB5965" w:rsidP="00DB5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Конституційне право як галузь права у зарубіжних країнах є однією з </w:t>
            </w:r>
            <w:r w:rsidR="00A46FD6" w:rsidRPr="004D10BA">
              <w:rPr>
                <w:rFonts w:ascii="Times New Roman CYR" w:hAnsi="Times New Roman CYR" w:cs="Times New Roman CYR"/>
                <w:lang w:val="uk-UA"/>
              </w:rPr>
              <w:t>базових юридичних дисциплін, що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вивчається у вищих навчальних закладах. За допомогою порівняльного аналізу змісту сучасних конституцій різних країн можна ознайомитися з конституційним устроєм і конституційними інститутами окремих країн, визначити найголовніші тенденції конституціоналізму та особливості конституційного розвитку держав</w:t>
            </w:r>
            <w:r w:rsidR="00634368" w:rsidRPr="004D10BA">
              <w:rPr>
                <w:rFonts w:ascii="Times New Roman CYR" w:hAnsi="Times New Roman CYR" w:cs="Times New Roman CYR"/>
                <w:lang w:val="uk-UA"/>
              </w:rPr>
              <w:t>.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DB5965" w:rsidRPr="004D10BA" w:rsidRDefault="00DB5965" w:rsidP="00DB5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lang w:val="uk-UA"/>
              </w:rPr>
              <w:t>Програма навчальної дисципліни складається з двох частин загальної та особливої. У загальній частині студенти мають можливість ознайомитися з основними інститутами конституційного права. В особливій частині – з конституційним правом таких країн як США, Великої  Британії, Італ</w:t>
            </w:r>
            <w:r w:rsidR="00A46FD6" w:rsidRPr="004D10BA">
              <w:rPr>
                <w:rFonts w:ascii="Times New Roman CYR" w:hAnsi="Times New Roman CYR" w:cs="Times New Roman CYR"/>
                <w:lang w:val="uk-UA"/>
              </w:rPr>
              <w:t xml:space="preserve">ії, Франції, Швейцарії, ФРН та 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>КНР.</w:t>
            </w:r>
          </w:p>
          <w:p w:rsidR="00DB5965" w:rsidRPr="004D10BA" w:rsidRDefault="00DB5965" w:rsidP="00DB5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i/>
                <w:lang w:val="uk-UA"/>
              </w:rPr>
              <w:t>Предметом навчальної дисципліни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є: вивчення системи знань про конституційне право</w:t>
            </w:r>
            <w:r w:rsidRPr="004D10BA">
              <w:rPr>
                <w:rFonts w:ascii="Times New Roman CYR" w:hAnsi="Times New Roman CYR" w:cs="Times New Roman CYR"/>
                <w:b/>
                <w:lang w:val="uk-UA"/>
              </w:rPr>
              <w:t xml:space="preserve"> 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як галузі права конкретної держави, розуміння природи і змісту основних конституційно правових інститутів, особливостей закріплення форми правління, територіального устрою, моделей судової системи, місцевого самоврядування, правового </w:t>
            </w:r>
            <w:r w:rsidR="00ED650E" w:rsidRPr="004D10BA">
              <w:rPr>
                <w:rFonts w:ascii="Times New Roman CYR" w:hAnsi="Times New Roman CYR" w:cs="Times New Roman CYR"/>
                <w:lang w:val="uk-UA"/>
              </w:rPr>
              <w:t>статусу людини і громадянина.</w:t>
            </w:r>
          </w:p>
          <w:p w:rsidR="00DB5965" w:rsidRPr="004D10BA" w:rsidRDefault="00DB5965" w:rsidP="00DB5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 xml:space="preserve">Завданням вивчення навчальної дисципліни є: 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>ознайомлення студентів з основними теоретичними положеннями галузі та основами конституційного права різних країн, допомо</w:t>
            </w:r>
            <w:r w:rsidR="00634368" w:rsidRPr="004D10BA">
              <w:rPr>
                <w:rFonts w:ascii="Times New Roman CYR" w:hAnsi="Times New Roman CYR" w:cs="Times New Roman CYR"/>
                <w:lang w:val="uk-UA"/>
              </w:rPr>
              <w:t>гти здобути комплекс знань щод</w:t>
            </w:r>
            <w:r w:rsidR="00423494" w:rsidRPr="004D10BA">
              <w:rPr>
                <w:rFonts w:ascii="Times New Roman CYR" w:hAnsi="Times New Roman CYR" w:cs="Times New Roman CYR"/>
                <w:lang w:val="uk-UA"/>
              </w:rPr>
              <w:t>о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сучасних концепцій держави, принципів політичної системи зарубіжних країн, різних форм правління, територіального устрою, основних моделей організації публічної влади та розуміння сучасних тенденцій розвитку конституціоналізму .</w:t>
            </w:r>
          </w:p>
          <w:p w:rsidR="00DB5965" w:rsidRPr="004D10BA" w:rsidRDefault="00DB5965" w:rsidP="00DB5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i/>
                <w:lang w:val="uk-UA"/>
              </w:rPr>
              <w:t>Мета вивчення навчальної дисципліни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: в процесі навчання студенти </w:t>
            </w:r>
            <w:r w:rsidRPr="004D10BA">
              <w:rPr>
                <w:rFonts w:ascii="Times New Roman CYR" w:hAnsi="Times New Roman CYR" w:cs="Times New Roman CYR"/>
                <w:b/>
                <w:bCs/>
                <w:i/>
                <w:iCs/>
                <w:lang w:val="uk-UA"/>
              </w:rPr>
              <w:t>повинні отримати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загальне уявлення про основні інститути конституційного права, знання про історію виникнення і становлення зарубіжних державно-правових інститутів, політико-правових ідей, теорій в порівняльному плані, що дасть їм можливість набути необхідні знання для розуміння державного ладу будь-якої країни. Знання конституційної теорії і практики різних держав може допомогти у вивченні не тільки конституційного права України а і інших галузей права. </w:t>
            </w:r>
          </w:p>
          <w:p w:rsidR="004D10BA" w:rsidRPr="004D10BA" w:rsidRDefault="002F3CE8" w:rsidP="004D10BA">
            <w:pPr>
              <w:ind w:firstLine="310"/>
              <w:jc w:val="both"/>
              <w:rPr>
                <w:lang w:val="uk-UA"/>
              </w:rPr>
            </w:pPr>
            <w:r w:rsidRPr="004D10BA">
              <w:rPr>
                <w:lang w:val="uk-UA"/>
              </w:rPr>
              <w:t xml:space="preserve">Програма навчальної дисципліни складається з </w:t>
            </w:r>
            <w:r w:rsidR="009A165A" w:rsidRPr="004D10BA">
              <w:rPr>
                <w:lang w:val="uk-UA"/>
              </w:rPr>
              <w:t>2</w:t>
            </w:r>
            <w:r w:rsidRPr="004D10BA">
              <w:rPr>
                <w:lang w:val="uk-UA"/>
              </w:rPr>
              <w:t xml:space="preserve"> змістових модулів</w:t>
            </w:r>
            <w:r w:rsidR="00ED650E" w:rsidRPr="004D10BA">
              <w:rPr>
                <w:lang w:val="uk-UA"/>
              </w:rPr>
              <w:t>.</w:t>
            </w:r>
          </w:p>
        </w:tc>
      </w:tr>
    </w:tbl>
    <w:p w:rsidR="004D10BA" w:rsidRDefault="004D10BA"/>
    <w:p w:rsidR="004D10BA" w:rsidRDefault="004D10BA">
      <w:r>
        <w:br w:type="page"/>
      </w:r>
    </w:p>
    <w:p w:rsidR="004D10BA" w:rsidRDefault="004D10B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37"/>
        <w:gridCol w:w="666"/>
        <w:gridCol w:w="3509"/>
        <w:gridCol w:w="2239"/>
      </w:tblGrid>
      <w:tr w:rsidR="002F3CE8" w:rsidRPr="004D10BA" w:rsidTr="00FA0987">
        <w:tc>
          <w:tcPr>
            <w:tcW w:w="9464" w:type="dxa"/>
            <w:gridSpan w:val="5"/>
            <w:shd w:val="clear" w:color="auto" w:fill="auto"/>
          </w:tcPr>
          <w:p w:rsidR="002F3CE8" w:rsidRPr="004D10BA" w:rsidRDefault="00A07CD2" w:rsidP="00E756F0">
            <w:pPr>
              <w:jc w:val="center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3</w:t>
            </w:r>
            <w:r w:rsidR="002F3CE8" w:rsidRPr="004D10BA">
              <w:rPr>
                <w:b/>
                <w:lang w:val="uk-UA"/>
              </w:rPr>
              <w:t>. Резу</w:t>
            </w:r>
            <w:r w:rsidR="00634368" w:rsidRPr="004D10BA">
              <w:rPr>
                <w:b/>
                <w:lang w:val="uk-UA"/>
              </w:rPr>
              <w:t xml:space="preserve">льтати навчання </w:t>
            </w:r>
          </w:p>
        </w:tc>
      </w:tr>
      <w:tr w:rsidR="007F51E4" w:rsidRPr="004D10BA" w:rsidTr="00FA0987">
        <w:tc>
          <w:tcPr>
            <w:tcW w:w="9464" w:type="dxa"/>
            <w:gridSpan w:val="5"/>
            <w:shd w:val="clear" w:color="auto" w:fill="auto"/>
          </w:tcPr>
          <w:p w:rsidR="007F51E4" w:rsidRPr="004D10BA" w:rsidRDefault="007F51E4" w:rsidP="007F51E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val="uk-UA" w:eastAsia="ar-SA" w:bidi="hi-IN"/>
              </w:rPr>
            </w:pPr>
            <w:r w:rsidRPr="004D10BA">
              <w:rPr>
                <w:lang w:val="uk-UA"/>
              </w:rPr>
              <w:t xml:space="preserve">ПРН-2: </w:t>
            </w:r>
            <w:r w:rsidRPr="004D10BA">
              <w:rPr>
                <w:kern w:val="1"/>
                <w:lang w:val="uk-UA" w:eastAsia="ar-SA" w:bidi="hi-IN"/>
              </w:rPr>
              <w:t>Демонструвати володіння загальнотеоретичними поняттями і категоріями права.</w:t>
            </w:r>
          </w:p>
          <w:p w:rsidR="007F51E4" w:rsidRPr="004D10BA" w:rsidRDefault="007F51E4" w:rsidP="007F51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 w:eastAsia="ar-SA"/>
              </w:rPr>
            </w:pPr>
            <w:r w:rsidRPr="004D10BA">
              <w:rPr>
                <w:lang w:val="uk-UA"/>
              </w:rPr>
              <w:t>ПРН-3: Проводити збір і інтегрований аналіз матеріалів з різних джерел</w:t>
            </w:r>
            <w:r w:rsidRPr="004D10BA">
              <w:rPr>
                <w:lang w:val="uk-UA" w:eastAsia="ar-SA"/>
              </w:rPr>
              <w:t>, аналізувати їх та узагальнювати у відповідності до наукових критеріїв.</w:t>
            </w:r>
          </w:p>
          <w:p w:rsidR="007F51E4" w:rsidRPr="004D10BA" w:rsidRDefault="007F51E4" w:rsidP="007F51E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val="uk-UA" w:eastAsia="ar-SA" w:bidi="hi-IN"/>
              </w:rPr>
            </w:pPr>
            <w:r w:rsidRPr="004D10BA">
              <w:rPr>
                <w:lang w:val="uk-UA"/>
              </w:rPr>
              <w:t xml:space="preserve">ПРН-10: </w:t>
            </w:r>
            <w:r w:rsidRPr="004D10BA">
              <w:rPr>
                <w:kern w:val="1"/>
                <w:lang w:val="uk-UA" w:eastAsia="ar-SA" w:bidi="hi-IN"/>
              </w:rPr>
              <w:t>Демонструвати концептуальні знання з конституційного права зарубіжних країн,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      </w:r>
          </w:p>
          <w:p w:rsidR="007F51E4" w:rsidRPr="004D10BA" w:rsidRDefault="007F51E4" w:rsidP="007F51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10BA">
              <w:rPr>
                <w:lang w:val="uk-UA"/>
              </w:rPr>
              <w:t xml:space="preserve">ПРН-13: </w:t>
            </w:r>
            <w:r w:rsidRPr="004D10BA">
              <w:rPr>
                <w:lang w:val="uk-UA" w:eastAsia="ar-SA"/>
              </w:rPr>
              <w:t>Пропонувати юридичний інструментарій забезпечення інтересів держави; працюючи в групі та під керівництвом, активно відстоювати їх за допомогою такого інструментарію, передбачати й формулювати юридичні ризики тих або інших дій з урахуванням множинності правових систем і юрисдикцій.</w:t>
            </w:r>
          </w:p>
          <w:p w:rsidR="007F51E4" w:rsidRPr="004D10BA" w:rsidRDefault="007F51E4" w:rsidP="007F51E4">
            <w:pPr>
              <w:pStyle w:val="Default"/>
              <w:ind w:left="426" w:hanging="284"/>
              <w:rPr>
                <w:color w:val="auto"/>
                <w:sz w:val="22"/>
                <w:szCs w:val="22"/>
              </w:rPr>
            </w:pPr>
          </w:p>
        </w:tc>
      </w:tr>
      <w:tr w:rsidR="007F51E4" w:rsidRPr="004D10BA" w:rsidTr="00FA0987">
        <w:tc>
          <w:tcPr>
            <w:tcW w:w="9464" w:type="dxa"/>
            <w:gridSpan w:val="5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lang w:val="uk-UA"/>
              </w:rPr>
            </w:pPr>
            <w:r w:rsidRPr="004D10BA">
              <w:rPr>
                <w:b/>
                <w:lang w:val="uk-UA"/>
              </w:rPr>
              <w:t xml:space="preserve">4. Організація навчання </w:t>
            </w:r>
          </w:p>
        </w:tc>
      </w:tr>
      <w:tr w:rsidR="007F51E4" w:rsidRPr="004D10BA" w:rsidTr="00FA0987">
        <w:tc>
          <w:tcPr>
            <w:tcW w:w="9464" w:type="dxa"/>
            <w:gridSpan w:val="5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 xml:space="preserve">Обсяг навчальної дисципліни </w:t>
            </w:r>
          </w:p>
        </w:tc>
      </w:tr>
      <w:tr w:rsidR="007F51E4" w:rsidRPr="004D10BA" w:rsidTr="00FA0987">
        <w:tc>
          <w:tcPr>
            <w:tcW w:w="3050" w:type="dxa"/>
            <w:gridSpan w:val="2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Вид заняття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Загальна кількість годин</w:t>
            </w:r>
          </w:p>
        </w:tc>
      </w:tr>
      <w:tr w:rsidR="007F51E4" w:rsidRPr="004D10BA" w:rsidTr="00FA0987">
        <w:tc>
          <w:tcPr>
            <w:tcW w:w="3050" w:type="dxa"/>
            <w:gridSpan w:val="2"/>
            <w:shd w:val="clear" w:color="auto" w:fill="auto"/>
          </w:tcPr>
          <w:p w:rsidR="007F51E4" w:rsidRPr="004D10BA" w:rsidRDefault="00A46FD6" w:rsidP="00E756F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F51E4"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F51E4" w:rsidRPr="004D10BA" w:rsidRDefault="007F51E4" w:rsidP="00A91D72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20</w:t>
            </w:r>
          </w:p>
        </w:tc>
      </w:tr>
      <w:tr w:rsidR="007F51E4" w:rsidRPr="004D10BA" w:rsidTr="00FA0987">
        <w:tc>
          <w:tcPr>
            <w:tcW w:w="3050" w:type="dxa"/>
            <w:gridSpan w:val="2"/>
            <w:shd w:val="clear" w:color="auto" w:fill="auto"/>
          </w:tcPr>
          <w:p w:rsidR="007F51E4" w:rsidRPr="004D10BA" w:rsidRDefault="007F51E4" w:rsidP="000C19C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F51E4" w:rsidRPr="004D10BA" w:rsidRDefault="007F51E4" w:rsidP="00A91D72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10</w:t>
            </w:r>
          </w:p>
        </w:tc>
      </w:tr>
      <w:tr w:rsidR="007F51E4" w:rsidRPr="004D10BA" w:rsidTr="00FA0987">
        <w:tc>
          <w:tcPr>
            <w:tcW w:w="3050" w:type="dxa"/>
            <w:gridSpan w:val="2"/>
            <w:shd w:val="clear" w:color="auto" w:fill="auto"/>
          </w:tcPr>
          <w:p w:rsidR="007F51E4" w:rsidRPr="004D10BA" w:rsidRDefault="007F51E4" w:rsidP="000C19C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F51E4" w:rsidRPr="004D10BA" w:rsidRDefault="007F51E4" w:rsidP="00A91D72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10</w:t>
            </w:r>
          </w:p>
        </w:tc>
      </w:tr>
      <w:tr w:rsidR="007F51E4" w:rsidRPr="004D10BA" w:rsidTr="00FA0987">
        <w:tc>
          <w:tcPr>
            <w:tcW w:w="3050" w:type="dxa"/>
            <w:gridSpan w:val="2"/>
            <w:shd w:val="clear" w:color="auto" w:fill="auto"/>
          </w:tcPr>
          <w:p w:rsidR="007F51E4" w:rsidRPr="004D10BA" w:rsidRDefault="007F51E4" w:rsidP="00E756F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F51E4" w:rsidRPr="004D10BA" w:rsidRDefault="007F51E4" w:rsidP="00A91D72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80</w:t>
            </w:r>
          </w:p>
        </w:tc>
      </w:tr>
      <w:tr w:rsidR="007F51E4" w:rsidRPr="004D10BA" w:rsidTr="00FA0987">
        <w:tc>
          <w:tcPr>
            <w:tcW w:w="9464" w:type="dxa"/>
            <w:gridSpan w:val="5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Ознаки навчальної дисципліни</w:t>
            </w:r>
          </w:p>
        </w:tc>
      </w:tr>
      <w:tr w:rsidR="007F51E4" w:rsidRPr="004D10BA" w:rsidTr="00FA0987">
        <w:tc>
          <w:tcPr>
            <w:tcW w:w="1513" w:type="dxa"/>
            <w:shd w:val="clear" w:color="auto" w:fill="auto"/>
            <w:vAlign w:val="center"/>
          </w:tcPr>
          <w:p w:rsidR="007F51E4" w:rsidRPr="004D10BA" w:rsidRDefault="007F51E4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F51E4" w:rsidRPr="004D10BA" w:rsidRDefault="007F51E4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shd w:val="clear" w:color="auto" w:fill="auto"/>
          </w:tcPr>
          <w:p w:rsidR="007F51E4" w:rsidRPr="004D10BA" w:rsidRDefault="007F51E4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7F51E4" w:rsidRPr="004D10BA" w:rsidRDefault="007F51E4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39" w:type="dxa"/>
            <w:shd w:val="clear" w:color="auto" w:fill="auto"/>
          </w:tcPr>
          <w:p w:rsidR="007F51E4" w:rsidRPr="004D10BA" w:rsidRDefault="007F51E4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 /</w:t>
            </w:r>
          </w:p>
          <w:p w:rsidR="007F51E4" w:rsidRPr="004D10BA" w:rsidRDefault="007F51E4" w:rsidP="00A91D72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B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7F51E4" w:rsidRPr="004D10BA" w:rsidTr="00FA0987">
        <w:tc>
          <w:tcPr>
            <w:tcW w:w="1513" w:type="dxa"/>
            <w:shd w:val="clear" w:color="auto" w:fill="auto"/>
          </w:tcPr>
          <w:p w:rsidR="007F51E4" w:rsidRPr="004D10BA" w:rsidRDefault="007F51E4" w:rsidP="00A91D72">
            <w:pPr>
              <w:jc w:val="center"/>
              <w:rPr>
                <w:bCs/>
                <w:lang w:val="uk-UA"/>
              </w:rPr>
            </w:pPr>
            <w:r w:rsidRPr="004D10BA"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bCs/>
                <w:lang w:val="uk-UA"/>
              </w:rPr>
            </w:pPr>
            <w:r w:rsidRPr="004D10BA">
              <w:rPr>
                <w:bCs/>
                <w:lang w:val="uk-UA"/>
              </w:rPr>
              <w:t>081 Право, 082/293 Міжнародне право</w:t>
            </w:r>
          </w:p>
        </w:tc>
        <w:tc>
          <w:tcPr>
            <w:tcW w:w="3509" w:type="dxa"/>
            <w:shd w:val="clear" w:color="auto" w:fill="auto"/>
          </w:tcPr>
          <w:p w:rsidR="007F51E4" w:rsidRPr="004D10BA" w:rsidRDefault="007F51E4" w:rsidP="00E756F0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7F51E4" w:rsidRPr="004D10BA" w:rsidRDefault="007F51E4" w:rsidP="00A91D72">
            <w:pPr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вибіркова</w:t>
            </w:r>
          </w:p>
        </w:tc>
      </w:tr>
    </w:tbl>
    <w:p w:rsidR="00FA0987" w:rsidRDefault="00FA0987"/>
    <w:p w:rsidR="00FA0987" w:rsidRDefault="00FA0987"/>
    <w:p w:rsidR="00FA0987" w:rsidRDefault="00FA0987" w:rsidP="00FA0987">
      <w:pPr>
        <w:jc w:val="center"/>
        <w:rPr>
          <w:b/>
        </w:rPr>
      </w:pPr>
      <w:r w:rsidRPr="00FA0987">
        <w:rPr>
          <w:b/>
        </w:rPr>
        <w:t xml:space="preserve">Тематика </w:t>
      </w:r>
      <w:proofErr w:type="spellStart"/>
      <w:r w:rsidRPr="00FA0987">
        <w:rPr>
          <w:b/>
        </w:rPr>
        <w:t>навчальної</w:t>
      </w:r>
      <w:proofErr w:type="spellEnd"/>
      <w:r w:rsidRPr="00FA0987">
        <w:rPr>
          <w:b/>
        </w:rPr>
        <w:t xml:space="preserve"> </w:t>
      </w:r>
      <w:proofErr w:type="spellStart"/>
      <w:r w:rsidRPr="00FA0987">
        <w:rPr>
          <w:b/>
        </w:rPr>
        <w:t>дисципліни</w:t>
      </w:r>
      <w:proofErr w:type="spellEnd"/>
    </w:p>
    <w:p w:rsidR="00FA0987" w:rsidRDefault="00FA0987" w:rsidP="00FA0987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823"/>
        <w:gridCol w:w="527"/>
        <w:gridCol w:w="107"/>
        <w:gridCol w:w="839"/>
        <w:gridCol w:w="747"/>
        <w:gridCol w:w="48"/>
        <w:gridCol w:w="1159"/>
        <w:gridCol w:w="635"/>
        <w:gridCol w:w="849"/>
        <w:gridCol w:w="999"/>
      </w:tblGrid>
      <w:tr w:rsidR="00FA0987" w:rsidRPr="004D10BA" w:rsidTr="00FA0987">
        <w:trPr>
          <w:cantSplit/>
        </w:trPr>
        <w:tc>
          <w:tcPr>
            <w:tcW w:w="2760" w:type="dxa"/>
            <w:vMerge w:val="restart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Назви змістових модулів і тем</w:t>
            </w:r>
          </w:p>
        </w:tc>
        <w:tc>
          <w:tcPr>
            <w:tcW w:w="6733" w:type="dxa"/>
            <w:gridSpan w:val="10"/>
          </w:tcPr>
          <w:p w:rsidR="00FA0987" w:rsidRPr="004D10BA" w:rsidRDefault="00FA0987" w:rsidP="00927A5F">
            <w:pPr>
              <w:tabs>
                <w:tab w:val="left" w:pos="1134"/>
              </w:tabs>
              <w:ind w:firstLine="567"/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Кількість годин</w:t>
            </w:r>
          </w:p>
        </w:tc>
      </w:tr>
      <w:tr w:rsidR="00FA0987" w:rsidRPr="004D10BA" w:rsidTr="00FA0987">
        <w:trPr>
          <w:cantSplit/>
        </w:trPr>
        <w:tc>
          <w:tcPr>
            <w:tcW w:w="2760" w:type="dxa"/>
            <w:vMerge/>
            <w:vAlign w:val="center"/>
          </w:tcPr>
          <w:p w:rsidR="00FA0987" w:rsidRPr="004D10BA" w:rsidRDefault="00FA0987" w:rsidP="00927A5F">
            <w:pPr>
              <w:rPr>
                <w:lang w:val="uk-UA"/>
              </w:rPr>
            </w:pPr>
          </w:p>
        </w:tc>
        <w:tc>
          <w:tcPr>
            <w:tcW w:w="3091" w:type="dxa"/>
            <w:gridSpan w:val="6"/>
          </w:tcPr>
          <w:p w:rsidR="00FA0987" w:rsidRPr="004D10BA" w:rsidRDefault="00FA0987" w:rsidP="00927A5F">
            <w:pPr>
              <w:tabs>
                <w:tab w:val="left" w:pos="1134"/>
              </w:tabs>
              <w:ind w:firstLine="567"/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Денна форма</w:t>
            </w:r>
          </w:p>
        </w:tc>
        <w:tc>
          <w:tcPr>
            <w:tcW w:w="3642" w:type="dxa"/>
            <w:gridSpan w:val="4"/>
          </w:tcPr>
          <w:p w:rsidR="00FA0987" w:rsidRPr="004D10BA" w:rsidRDefault="00FA0987" w:rsidP="00927A5F">
            <w:pPr>
              <w:tabs>
                <w:tab w:val="left" w:pos="1134"/>
              </w:tabs>
              <w:ind w:firstLine="567"/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Заочна форма</w:t>
            </w:r>
          </w:p>
        </w:tc>
      </w:tr>
      <w:tr w:rsidR="00FA0987" w:rsidRPr="004D10BA" w:rsidTr="00FA0987">
        <w:trPr>
          <w:cantSplit/>
        </w:trPr>
        <w:tc>
          <w:tcPr>
            <w:tcW w:w="2760" w:type="dxa"/>
            <w:vMerge/>
            <w:vAlign w:val="center"/>
          </w:tcPr>
          <w:p w:rsidR="00FA0987" w:rsidRPr="004D10BA" w:rsidRDefault="00FA0987" w:rsidP="00927A5F">
            <w:pPr>
              <w:rPr>
                <w:lang w:val="uk-UA"/>
              </w:rPr>
            </w:pPr>
          </w:p>
        </w:tc>
        <w:tc>
          <w:tcPr>
            <w:tcW w:w="823" w:type="dxa"/>
            <w:vMerge w:val="restart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268" w:type="dxa"/>
            <w:gridSpan w:val="5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59" w:type="dxa"/>
            <w:vMerge w:val="restart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483" w:type="dxa"/>
            <w:gridSpan w:val="3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FA0987" w:rsidRPr="004D10BA" w:rsidTr="00FA0987">
        <w:trPr>
          <w:cantSplit/>
        </w:trPr>
        <w:tc>
          <w:tcPr>
            <w:tcW w:w="2760" w:type="dxa"/>
            <w:vMerge/>
            <w:vAlign w:val="center"/>
          </w:tcPr>
          <w:p w:rsidR="00FA0987" w:rsidRPr="004D10BA" w:rsidRDefault="00FA0987" w:rsidP="00927A5F">
            <w:pPr>
              <w:rPr>
                <w:lang w:val="uk-UA"/>
              </w:rPr>
            </w:pPr>
          </w:p>
        </w:tc>
        <w:tc>
          <w:tcPr>
            <w:tcW w:w="823" w:type="dxa"/>
            <w:vMerge/>
            <w:vAlign w:val="center"/>
          </w:tcPr>
          <w:p w:rsidR="00FA0987" w:rsidRPr="004D10BA" w:rsidRDefault="00FA0987" w:rsidP="00927A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С+ПР</w:t>
            </w:r>
          </w:p>
        </w:tc>
        <w:tc>
          <w:tcPr>
            <w:tcW w:w="795" w:type="dxa"/>
            <w:gridSpan w:val="2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1159" w:type="dxa"/>
            <w:vMerge/>
            <w:vAlign w:val="center"/>
          </w:tcPr>
          <w:p w:rsidR="00FA0987" w:rsidRPr="004D10BA" w:rsidRDefault="00FA0987" w:rsidP="00927A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4D10B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С</w:t>
            </w: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823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D10BA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46" w:type="dxa"/>
            <w:gridSpan w:val="2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D10BA">
              <w:rPr>
                <w:bCs/>
                <w:sz w:val="20"/>
                <w:szCs w:val="20"/>
                <w:lang w:val="uk-UA"/>
              </w:rPr>
              <w:t>10+10</w:t>
            </w:r>
          </w:p>
        </w:tc>
        <w:tc>
          <w:tcPr>
            <w:tcW w:w="795" w:type="dxa"/>
            <w:gridSpan w:val="2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D10BA"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115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D10BA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D10BA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Cs/>
                <w:lang w:val="uk-UA"/>
              </w:rPr>
            </w:pPr>
          </w:p>
        </w:tc>
      </w:tr>
      <w:tr w:rsidR="00FA0987" w:rsidRPr="004D10BA" w:rsidTr="00FA0987">
        <w:trPr>
          <w:cantSplit/>
          <w:trHeight w:val="313"/>
        </w:trPr>
        <w:tc>
          <w:tcPr>
            <w:tcW w:w="9493" w:type="dxa"/>
            <w:gridSpan w:val="11"/>
          </w:tcPr>
          <w:p w:rsidR="00FA0987" w:rsidRPr="004D10BA" w:rsidRDefault="00FA0987" w:rsidP="00927A5F">
            <w:pPr>
              <w:tabs>
                <w:tab w:val="left" w:pos="1134"/>
              </w:tabs>
              <w:ind w:firstLine="650"/>
              <w:jc w:val="center"/>
              <w:rPr>
                <w:b/>
                <w:bCs/>
                <w:lang w:val="uk-UA"/>
              </w:rPr>
            </w:pPr>
            <w:r w:rsidRPr="004D10BA">
              <w:rPr>
                <w:b/>
                <w:bCs/>
                <w:lang w:val="uk-UA"/>
              </w:rPr>
              <w:t>Модуль 1.</w:t>
            </w:r>
          </w:p>
        </w:tc>
      </w:tr>
      <w:tr w:rsidR="00FA0987" w:rsidRPr="004D10BA" w:rsidTr="00FA0987">
        <w:trPr>
          <w:cantSplit/>
        </w:trPr>
        <w:tc>
          <w:tcPr>
            <w:tcW w:w="9493" w:type="dxa"/>
            <w:gridSpan w:val="11"/>
          </w:tcPr>
          <w:p w:rsidR="00FA0987" w:rsidRPr="004D10BA" w:rsidRDefault="00FA0987" w:rsidP="00927A5F">
            <w:pPr>
              <w:tabs>
                <w:tab w:val="left" w:pos="1134"/>
              </w:tabs>
              <w:ind w:firstLine="650"/>
              <w:jc w:val="center"/>
              <w:rPr>
                <w:lang w:val="uk-UA"/>
              </w:rPr>
            </w:pPr>
            <w:r w:rsidRPr="004D10BA">
              <w:rPr>
                <w:b/>
                <w:bCs/>
                <w:lang w:val="uk-UA"/>
              </w:rPr>
              <w:t>Змістовий модуль 1.</w:t>
            </w: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Конституційне право як галузь права в зарубіжних країнах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–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15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Конституційний статус людини і громадянина в зарубіжних країнах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15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2</w:t>
            </w: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Форми державного правління і державні (політичні)режими в зарубіжних країнах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15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Організація публічної влади в державі: територіальний аспект, форми її здійснення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15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Парламент і парламентаризм в зарубіжних країнах 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15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Конституційно-правовий статус глави держави  зарубіжних країнах 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15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>2</w:t>
            </w: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Конституційно-правовий статус уряду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115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>Конституційні засади судової влади в зарубіжних країнах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15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  <w:r w:rsidRPr="004D10BA">
              <w:rPr>
                <w:lang w:val="uk-UA"/>
              </w:rPr>
              <w:t xml:space="preserve"> </w:t>
            </w: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Всього по загальній частині</w:t>
            </w:r>
          </w:p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52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46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95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15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4</w:t>
            </w: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9493" w:type="dxa"/>
            <w:gridSpan w:val="11"/>
            <w:vAlign w:val="center"/>
          </w:tcPr>
          <w:p w:rsidR="00FA0987" w:rsidRPr="004D10BA" w:rsidRDefault="00FA0987" w:rsidP="00927A5F">
            <w:pPr>
              <w:tabs>
                <w:tab w:val="left" w:pos="1134"/>
              </w:tabs>
              <w:ind w:firstLine="650"/>
              <w:jc w:val="center"/>
              <w:rPr>
                <w:lang w:val="uk-UA"/>
              </w:rPr>
            </w:pPr>
            <w:r w:rsidRPr="004D10BA">
              <w:rPr>
                <w:b/>
                <w:lang w:val="uk-UA"/>
              </w:rPr>
              <w:t>Змістовий модуль 2.</w:t>
            </w: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Великої Британії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10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2   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США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rPr>
          <w:trHeight w:val="352"/>
        </w:trPr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Франції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ФРН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Італії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Швейцарії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Основи конституційного права КНР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Всього по особливій частині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07" w:type="dxa"/>
            <w:gridSpan w:val="2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FA0987" w:rsidRPr="004D10BA" w:rsidRDefault="00FA0987" w:rsidP="00927A5F">
            <w:pPr>
              <w:tabs>
                <w:tab w:val="left" w:pos="1134"/>
              </w:tabs>
              <w:ind w:hanging="99"/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FA0987" w:rsidRPr="004D10BA" w:rsidTr="00FA0987">
        <w:tc>
          <w:tcPr>
            <w:tcW w:w="2760" w:type="dxa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 xml:space="preserve">Всього по курсу </w:t>
            </w:r>
          </w:p>
        </w:tc>
        <w:tc>
          <w:tcPr>
            <w:tcW w:w="823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634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839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747" w:type="dxa"/>
            <w:vAlign w:val="center"/>
          </w:tcPr>
          <w:p w:rsidR="00FA0987" w:rsidRPr="004D10BA" w:rsidRDefault="00FA0987" w:rsidP="00927A5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10B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1207" w:type="dxa"/>
            <w:gridSpan w:val="2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FA0987" w:rsidRPr="004D10BA" w:rsidRDefault="00FA0987" w:rsidP="00927A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A0987" w:rsidRPr="004D10BA" w:rsidRDefault="00FA0987" w:rsidP="00927A5F">
            <w:pPr>
              <w:tabs>
                <w:tab w:val="left" w:pos="113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FA0987" w:rsidRPr="004D10BA" w:rsidRDefault="00FA0987" w:rsidP="00927A5F">
            <w:pPr>
              <w:tabs>
                <w:tab w:val="left" w:pos="1134"/>
              </w:tabs>
              <w:ind w:firstLine="29"/>
              <w:jc w:val="center"/>
              <w:rPr>
                <w:b/>
                <w:lang w:val="uk-UA"/>
              </w:rPr>
            </w:pPr>
          </w:p>
        </w:tc>
      </w:tr>
    </w:tbl>
    <w:p w:rsidR="00BB7417" w:rsidRDefault="00BB7417" w:rsidP="00BB7417">
      <w:pPr>
        <w:rPr>
          <w:vanish/>
          <w:lang w:val="uk-UA"/>
        </w:rPr>
      </w:pPr>
    </w:p>
    <w:p w:rsidR="00FA0987" w:rsidRPr="004D10BA" w:rsidRDefault="00FA0987" w:rsidP="00BB7417">
      <w:pPr>
        <w:rPr>
          <w:vanish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595"/>
      </w:tblGrid>
      <w:tr w:rsidR="002F3CE8" w:rsidRPr="004D10BA" w:rsidTr="00FA0987">
        <w:tc>
          <w:tcPr>
            <w:tcW w:w="9493" w:type="dxa"/>
            <w:gridSpan w:val="2"/>
            <w:shd w:val="clear" w:color="auto" w:fill="auto"/>
          </w:tcPr>
          <w:p w:rsidR="002F3CE8" w:rsidRPr="004D10BA" w:rsidRDefault="00B35A0A" w:rsidP="00E756F0">
            <w:pPr>
              <w:jc w:val="center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5</w:t>
            </w:r>
            <w:r w:rsidR="002F3CE8" w:rsidRPr="004D10B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2F3CE8" w:rsidRPr="004D10BA" w:rsidTr="00FA0987">
        <w:tc>
          <w:tcPr>
            <w:tcW w:w="1898" w:type="dxa"/>
            <w:shd w:val="clear" w:color="auto" w:fill="auto"/>
          </w:tcPr>
          <w:p w:rsidR="002F3CE8" w:rsidRPr="004D10BA" w:rsidRDefault="00500C5D" w:rsidP="00E756F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>Загальна система оцінювання курсу</w:t>
            </w:r>
            <w:r w:rsidR="00D93AA5" w:rsidRPr="004D10BA">
              <w:rPr>
                <w:rFonts w:ascii="Times New Roman" w:eastAsia="TimesNewRomanPSMT" w:hAnsi="Times New Roman" w:cs="Times New Roman"/>
                <w:lang w:eastAsia="en-US"/>
              </w:rPr>
              <w:t xml:space="preserve"> форма оцінювання</w:t>
            </w:r>
          </w:p>
        </w:tc>
        <w:tc>
          <w:tcPr>
            <w:tcW w:w="7595" w:type="dxa"/>
            <w:shd w:val="clear" w:color="auto" w:fill="auto"/>
          </w:tcPr>
          <w:p w:rsidR="002F3CE8" w:rsidRPr="004D10BA" w:rsidRDefault="00500C5D" w:rsidP="00B35A0A">
            <w:pPr>
              <w:jc w:val="both"/>
              <w:rPr>
                <w:rFonts w:eastAsia="TimesNewRomanPSMT"/>
                <w:lang w:val="uk-UA" w:eastAsia="en-US"/>
              </w:rPr>
            </w:pPr>
            <w:r w:rsidRPr="004D10BA">
              <w:rPr>
                <w:rFonts w:eastAsia="TimesNewRomanPSMT"/>
                <w:lang w:val="uk-UA" w:eastAsia="en-US"/>
              </w:rPr>
              <w:t>Участ</w:t>
            </w:r>
            <w:r w:rsidR="00423494" w:rsidRPr="004D10BA">
              <w:rPr>
                <w:rFonts w:eastAsia="TimesNewRomanPSMT"/>
                <w:lang w:val="uk-UA" w:eastAsia="en-US"/>
              </w:rPr>
              <w:t>ь в роботі впродовж семестру – 70</w:t>
            </w:r>
            <w:r w:rsidR="00065E08" w:rsidRPr="004D10BA">
              <w:rPr>
                <w:rFonts w:eastAsia="TimesNewRomanPSMT"/>
                <w:lang w:val="uk-UA" w:eastAsia="en-US"/>
              </w:rPr>
              <w:t>% від загальної оцінки. залік</w:t>
            </w:r>
            <w:r w:rsidR="00423494" w:rsidRPr="004D10BA">
              <w:rPr>
                <w:rFonts w:eastAsia="TimesNewRomanPSMT"/>
                <w:lang w:val="uk-UA" w:eastAsia="en-US"/>
              </w:rPr>
              <w:t>: 70%</w:t>
            </w:r>
            <w:r w:rsidR="00065E08" w:rsidRPr="004D10BA">
              <w:rPr>
                <w:rFonts w:eastAsia="TimesNewRomanPSMT"/>
                <w:lang w:val="uk-UA" w:eastAsia="en-US"/>
              </w:rPr>
              <w:t xml:space="preserve"> від загальної оцінки. Залік</w:t>
            </w:r>
            <w:r w:rsidRPr="004D10BA">
              <w:rPr>
                <w:rFonts w:eastAsia="TimesNewRomanPSMT"/>
                <w:lang w:val="uk-UA" w:eastAsia="en-US"/>
              </w:rPr>
              <w:t xml:space="preserve"> усний згідно з переліком питань.</w:t>
            </w:r>
          </w:p>
        </w:tc>
      </w:tr>
      <w:tr w:rsidR="005B6078" w:rsidRPr="004D10BA" w:rsidTr="00FA0987">
        <w:tc>
          <w:tcPr>
            <w:tcW w:w="1898" w:type="dxa"/>
            <w:shd w:val="clear" w:color="auto" w:fill="auto"/>
          </w:tcPr>
          <w:p w:rsidR="005B6078" w:rsidRPr="004D10BA" w:rsidRDefault="005B6078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595" w:type="dxa"/>
            <w:shd w:val="clear" w:color="auto" w:fill="auto"/>
          </w:tcPr>
          <w:p w:rsidR="005B6078" w:rsidRPr="004D10BA" w:rsidRDefault="005B6078" w:rsidP="009C49D3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Обов’язкова присутність на лекційн</w:t>
            </w:r>
            <w:r w:rsidR="000E1452"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их заняттях. У разі пропуску 1/2</w:t>
            </w: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лекційних занять студент не допускається до підсумкового контролю. Активність впродовж семестру, відвідування і </w:t>
            </w:r>
            <w:r w:rsidR="00D93AA5"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відпрацювання усіх семінарських </w:t>
            </w: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занять </w:t>
            </w:r>
            <w:r w:rsidR="00455CD1"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обов’язково</w:t>
            </w: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 Відпрацювання семінарських занять (можливе шляхом виконання тесту</w:t>
            </w:r>
            <w:r w:rsidR="000E1452"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 або написання реферату</w:t>
            </w: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) здійснюється протягом двох тижнів з моменту пропуску заняття або отримання незадовільної оцінки на занятті. </w:t>
            </w:r>
          </w:p>
        </w:tc>
      </w:tr>
      <w:tr w:rsidR="0058207D" w:rsidRPr="004D10BA" w:rsidTr="00FA0987">
        <w:trPr>
          <w:trHeight w:val="1920"/>
        </w:trPr>
        <w:tc>
          <w:tcPr>
            <w:tcW w:w="1898" w:type="dxa"/>
            <w:shd w:val="clear" w:color="auto" w:fill="auto"/>
          </w:tcPr>
          <w:p w:rsidR="0058207D" w:rsidRPr="004D10BA" w:rsidRDefault="0058207D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>Засоб</w:t>
            </w:r>
            <w:r w:rsidR="009C49D3" w:rsidRPr="004D10BA">
              <w:rPr>
                <w:rFonts w:ascii="Times New Roman" w:eastAsia="TimesNewRomanPSMT" w:hAnsi="Times New Roman" w:cs="Times New Roman"/>
                <w:lang w:eastAsia="en-US"/>
              </w:rPr>
              <w:t>и</w:t>
            </w: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 xml:space="preserve"> оцінювання та метод</w:t>
            </w:r>
            <w:r w:rsidR="009C49D3" w:rsidRPr="004D10BA">
              <w:rPr>
                <w:rFonts w:ascii="Times New Roman" w:eastAsia="TimesNewRomanPSMT" w:hAnsi="Times New Roman" w:cs="Times New Roman"/>
                <w:lang w:eastAsia="en-US"/>
              </w:rPr>
              <w:t>и</w:t>
            </w: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 xml:space="preserve"> демонстрування результатів</w:t>
            </w:r>
            <w:r w:rsidR="009C49D3" w:rsidRPr="004D10BA">
              <w:rPr>
                <w:rFonts w:ascii="Times New Roman" w:eastAsia="TimesNewRomanPSMT" w:hAnsi="Times New Roman" w:cs="Times New Roman"/>
                <w:lang w:eastAsia="en-US"/>
              </w:rPr>
              <w:t xml:space="preserve"> навчання</w:t>
            </w:r>
          </w:p>
        </w:tc>
        <w:tc>
          <w:tcPr>
            <w:tcW w:w="7595" w:type="dxa"/>
            <w:shd w:val="clear" w:color="auto" w:fill="auto"/>
          </w:tcPr>
          <w:p w:rsidR="00D93AA5" w:rsidRPr="004D10BA" w:rsidRDefault="009C49D3" w:rsidP="009C49D3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Поточне письмове тестування. Написання есе. Самостійна робота - підготовка рефератів, стислих доповідей. Вирішення задач, робота з кейсами, підготовка схем, порівняльних таблиць, комп’ютерна  презентація, </w:t>
            </w:r>
            <w:proofErr w:type="spellStart"/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інфографіка</w:t>
            </w:r>
            <w:proofErr w:type="spellEnd"/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 Проведення дебатів,</w:t>
            </w:r>
            <w:r w:rsidR="000E1452"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дискусій. Проведення колоквіуму</w:t>
            </w: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871CF" w:rsidRPr="004D10BA" w:rsidRDefault="00F871CF" w:rsidP="009C49D3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Модульна контрольна.</w:t>
            </w:r>
          </w:p>
          <w:p w:rsidR="0058207D" w:rsidRPr="004D10BA" w:rsidRDefault="009C49D3" w:rsidP="009C49D3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D10B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Підсумковий контроль (залік). </w:t>
            </w:r>
          </w:p>
        </w:tc>
      </w:tr>
      <w:tr w:rsidR="00A46FD6" w:rsidRPr="004D10BA" w:rsidTr="00FA0987">
        <w:trPr>
          <w:trHeight w:val="150"/>
        </w:trPr>
        <w:tc>
          <w:tcPr>
            <w:tcW w:w="1898" w:type="dxa"/>
            <w:shd w:val="clear" w:color="auto" w:fill="auto"/>
          </w:tcPr>
          <w:p w:rsidR="00A46FD6" w:rsidRPr="004D10BA" w:rsidRDefault="00A46FD6" w:rsidP="00A46FD6">
            <w:pPr>
              <w:pStyle w:val="1"/>
              <w:widowControl w:val="0"/>
              <w:spacing w:line="240" w:lineRule="auto"/>
              <w:jc w:val="center"/>
            </w:pP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>Шкала оцінювання</w:t>
            </w:r>
          </w:p>
        </w:tc>
        <w:tc>
          <w:tcPr>
            <w:tcW w:w="7595" w:type="dxa"/>
            <w:shd w:val="clear" w:color="auto" w:fill="auto"/>
          </w:tcPr>
          <w:p w:rsidR="00A46FD6" w:rsidRPr="004D10BA" w:rsidRDefault="00A46FD6" w:rsidP="00A46FD6">
            <w:pPr>
              <w:rPr>
                <w:lang w:val="uk-UA"/>
              </w:rPr>
            </w:pPr>
            <w:r w:rsidRPr="004D10BA">
              <w:rPr>
                <w:lang w:val="uk-UA"/>
              </w:rPr>
              <w:t>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      </w:r>
          </w:p>
        </w:tc>
      </w:tr>
      <w:tr w:rsidR="00A46FD6" w:rsidRPr="004D10BA" w:rsidTr="00FA0987">
        <w:trPr>
          <w:trHeight w:val="111"/>
        </w:trPr>
        <w:tc>
          <w:tcPr>
            <w:tcW w:w="1898" w:type="dxa"/>
            <w:shd w:val="clear" w:color="auto" w:fill="auto"/>
          </w:tcPr>
          <w:p w:rsidR="00A46FD6" w:rsidRPr="004D10BA" w:rsidRDefault="00A46FD6" w:rsidP="00A46FD6">
            <w:pPr>
              <w:pStyle w:val="1"/>
              <w:widowControl w:val="0"/>
              <w:spacing w:line="240" w:lineRule="auto"/>
              <w:jc w:val="center"/>
            </w:pPr>
            <w:r w:rsidRPr="004D10BA">
              <w:rPr>
                <w:rFonts w:ascii="Times New Roman" w:eastAsia="TimesNewRomanPSMT" w:hAnsi="Times New Roman" w:cs="Times New Roman"/>
                <w:lang w:eastAsia="en-US"/>
              </w:rPr>
              <w:t>Критерії оцінювання</w:t>
            </w:r>
          </w:p>
        </w:tc>
        <w:tc>
          <w:tcPr>
            <w:tcW w:w="7595" w:type="dxa"/>
            <w:shd w:val="clear" w:color="auto" w:fill="auto"/>
          </w:tcPr>
          <w:p w:rsidR="00A46FD6" w:rsidRPr="004D10BA" w:rsidRDefault="00A46FD6" w:rsidP="00A46FD6">
            <w:pPr>
              <w:rPr>
                <w:lang w:val="uk-UA"/>
              </w:rPr>
            </w:pPr>
            <w:r w:rsidRPr="004D10BA">
              <w:rPr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</w:tc>
      </w:tr>
    </w:tbl>
    <w:p w:rsidR="002238A6" w:rsidRDefault="002238A6"/>
    <w:p w:rsidR="002238A6" w:rsidRDefault="002238A6">
      <w:r>
        <w:br w:type="page"/>
      </w:r>
    </w:p>
    <w:p w:rsidR="002238A6" w:rsidRDefault="002238A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F3CE8" w:rsidRPr="004D10BA" w:rsidTr="00FA0987">
        <w:tc>
          <w:tcPr>
            <w:tcW w:w="9493" w:type="dxa"/>
            <w:shd w:val="clear" w:color="auto" w:fill="auto"/>
          </w:tcPr>
          <w:p w:rsidR="002F3CE8" w:rsidRPr="004D10BA" w:rsidRDefault="0023484F" w:rsidP="00E756F0">
            <w:pPr>
              <w:jc w:val="center"/>
              <w:rPr>
                <w:lang w:val="uk-UA"/>
              </w:rPr>
            </w:pPr>
            <w:r w:rsidRPr="004D10BA">
              <w:rPr>
                <w:b/>
                <w:lang w:val="uk-UA"/>
              </w:rPr>
              <w:t>6</w:t>
            </w:r>
            <w:r w:rsidR="002F3CE8" w:rsidRPr="004D10BA">
              <w:rPr>
                <w:b/>
                <w:lang w:val="uk-UA"/>
              </w:rPr>
              <w:t>. Політика навчальної дисципліни</w:t>
            </w:r>
          </w:p>
        </w:tc>
      </w:tr>
      <w:tr w:rsidR="002F3CE8" w:rsidRPr="004D10BA" w:rsidTr="00FA0987">
        <w:tc>
          <w:tcPr>
            <w:tcW w:w="9493" w:type="dxa"/>
            <w:shd w:val="clear" w:color="auto" w:fill="auto"/>
          </w:tcPr>
          <w:p w:rsidR="00226C3D" w:rsidRPr="004D10BA" w:rsidRDefault="00226C3D" w:rsidP="00226C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D10BA">
              <w:rPr>
                <w:rFonts w:eastAsia="TimesNewRomanPSMT"/>
                <w:u w:val="single"/>
                <w:lang w:val="uk-UA" w:eastAsia="en-US"/>
              </w:rPr>
              <w:t>Семінарські заняття:</w:t>
            </w:r>
            <w:r w:rsidRPr="004D10BA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26C3D" w:rsidRPr="004D10BA" w:rsidRDefault="00226C3D" w:rsidP="00226C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4D10BA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26C3D" w:rsidRPr="004D10BA" w:rsidRDefault="00226C3D" w:rsidP="0022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З метою підвищення ефективності засвоєння навчальної дисципліни  на </w:t>
            </w:r>
            <w:r w:rsidRPr="004D10BA">
              <w:rPr>
                <w:rFonts w:ascii="Times New Roman CYR" w:hAnsi="Times New Roman CYR" w:cs="Times New Roman CYR"/>
                <w:b/>
                <w:lang w:val="uk-UA"/>
              </w:rPr>
              <w:t>практичних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заняттях передбачено виконання студентами </w:t>
            </w:r>
            <w:r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>творчих</w:t>
            </w:r>
            <w:r w:rsidRPr="004D10BA">
              <w:rPr>
                <w:rFonts w:ascii="Times New Roman CYR" w:hAnsi="Times New Roman CYR" w:cs="Times New Roman CYR"/>
                <w:lang w:val="uk-UA"/>
              </w:rPr>
              <w:t xml:space="preserve"> завдань у </w:t>
            </w:r>
            <w:r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>фор</w:t>
            </w:r>
            <w:r w:rsidR="00D93AA5"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 xml:space="preserve">мі складання    </w:t>
            </w:r>
            <w:proofErr w:type="spellStart"/>
            <w:r w:rsidR="00D93AA5"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>інфографіки</w:t>
            </w:r>
            <w:proofErr w:type="spellEnd"/>
            <w:r w:rsidR="00D93AA5"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 xml:space="preserve"> (</w:t>
            </w:r>
            <w:r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 xml:space="preserve">порівняльних таблиць з певної тематики), підготовка комп`ютерної </w:t>
            </w:r>
            <w:proofErr w:type="spellStart"/>
            <w:r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>презентації</w:t>
            </w:r>
            <w:r w:rsidR="00D93AA5"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>,написання</w:t>
            </w:r>
            <w:proofErr w:type="spellEnd"/>
            <w:r w:rsidR="00D93AA5"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 xml:space="preserve"> есе </w:t>
            </w:r>
            <w:r w:rsidRPr="004D10BA">
              <w:rPr>
                <w:rFonts w:ascii="Times New Roman CYR" w:hAnsi="Times New Roman CYR" w:cs="Times New Roman CYR"/>
                <w:bCs/>
                <w:iCs/>
                <w:lang w:val="uk-UA"/>
              </w:rPr>
              <w:t>та ведення словника - термінів, підготовка стислих доповідей з тем запропонованих на кожне семінарське заняття.</w:t>
            </w:r>
          </w:p>
          <w:p w:rsidR="003A2FF0" w:rsidRPr="004D10BA" w:rsidRDefault="003A2FF0" w:rsidP="001A56F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  <w:p w:rsidR="002F3CE8" w:rsidRPr="004D10BA" w:rsidRDefault="002F3CE8" w:rsidP="00226C3D">
            <w:pPr>
              <w:jc w:val="both"/>
              <w:rPr>
                <w:lang w:val="uk-UA"/>
              </w:rPr>
            </w:pPr>
            <w:r w:rsidRPr="004D10B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4D10BA" w:rsidRDefault="00D816B9" w:rsidP="00226C3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незарахуванння</w:t>
            </w:r>
            <w:proofErr w:type="spellEnd"/>
            <w:r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4D10BA" w:rsidRDefault="002F3CE8" w:rsidP="00226C3D">
            <w:pPr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D10B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3A2FF0" w:rsidRPr="004D10BA">
              <w:rPr>
                <w:rFonts w:eastAsia="TimesNewRomanPSMT"/>
                <w:u w:val="single"/>
                <w:lang w:val="uk-UA" w:eastAsia="en-US"/>
              </w:rPr>
              <w:t xml:space="preserve">: </w:t>
            </w:r>
          </w:p>
          <w:p w:rsidR="002F3CE8" w:rsidRPr="004D10BA" w:rsidRDefault="00CD1339" w:rsidP="005B6078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D10BA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4D10BA">
              <w:rPr>
                <w:lang w:val="uk-UA"/>
              </w:rPr>
              <w:t>навчальної дисципліни</w:t>
            </w:r>
            <w:r w:rsidRPr="004D10BA">
              <w:rPr>
                <w:rFonts w:eastAsia="TimesNewRomanPSMT"/>
                <w:lang w:val="uk-UA" w:eastAsia="en-US"/>
              </w:rPr>
              <w:t>.</w:t>
            </w:r>
            <w:r w:rsidR="00D816B9"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</w:t>
            </w:r>
            <w:r w:rsidR="00963DCF"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тя. Студенти, які пропустили 1/2</w:t>
            </w:r>
            <w:r w:rsidR="00D816B9"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аудиторних занять і не відпрацювали їх до кінця семестру, н</w:t>
            </w:r>
            <w:r w:rsidR="00D93AA5" w:rsidRPr="004D10B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е допускають до складання заліку</w:t>
            </w:r>
          </w:p>
        </w:tc>
      </w:tr>
      <w:tr w:rsidR="002F3CE8" w:rsidRPr="004D10BA" w:rsidTr="00FA0987">
        <w:tc>
          <w:tcPr>
            <w:tcW w:w="9493" w:type="dxa"/>
            <w:shd w:val="clear" w:color="auto" w:fill="auto"/>
          </w:tcPr>
          <w:p w:rsidR="002F3CE8" w:rsidRPr="004D10BA" w:rsidRDefault="00927B76" w:rsidP="00E756F0">
            <w:pPr>
              <w:jc w:val="center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7</w:t>
            </w:r>
            <w:r w:rsidR="002F3CE8" w:rsidRPr="004D10BA">
              <w:rPr>
                <w:b/>
                <w:lang w:val="uk-UA"/>
              </w:rPr>
              <w:t>. Рекомендована література</w:t>
            </w:r>
          </w:p>
        </w:tc>
      </w:tr>
      <w:tr w:rsidR="002F3CE8" w:rsidRPr="004D10BA" w:rsidTr="00FA0987">
        <w:tc>
          <w:tcPr>
            <w:tcW w:w="9493" w:type="dxa"/>
            <w:shd w:val="clear" w:color="auto" w:fill="auto"/>
          </w:tcPr>
          <w:p w:rsidR="00A46FD6" w:rsidRPr="004D10BA" w:rsidRDefault="00A46FD6" w:rsidP="00A46FD6">
            <w:pPr>
              <w:ind w:firstLine="709"/>
              <w:jc w:val="both"/>
              <w:rPr>
                <w:b/>
                <w:lang w:val="uk-UA"/>
              </w:rPr>
            </w:pPr>
            <w:r w:rsidRPr="004D10BA">
              <w:rPr>
                <w:b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4D10BA" w:rsidRDefault="002F3CE8" w:rsidP="00A46FD6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EC6470" w:rsidRPr="004D10BA" w:rsidRDefault="00EC6470" w:rsidP="00927B76">
      <w:pPr>
        <w:jc w:val="both"/>
        <w:rPr>
          <w:lang w:val="uk-UA"/>
        </w:rPr>
      </w:pPr>
    </w:p>
    <w:sectPr w:rsidR="00EC6470" w:rsidRPr="004D10BA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CBF"/>
    <w:multiLevelType w:val="hybridMultilevel"/>
    <w:tmpl w:val="C43242BA"/>
    <w:lvl w:ilvl="0" w:tplc="47643DD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CCE"/>
    <w:multiLevelType w:val="singleLevel"/>
    <w:tmpl w:val="368CF8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4D5262B"/>
    <w:multiLevelType w:val="hybridMultilevel"/>
    <w:tmpl w:val="B844A834"/>
    <w:lvl w:ilvl="0" w:tplc="BBFAECB4">
      <w:start w:val="1"/>
      <w:numFmt w:val="decimal"/>
      <w:lvlText w:val="%1."/>
      <w:lvlJc w:val="left"/>
      <w:pPr>
        <w:tabs>
          <w:tab w:val="num" w:pos="1134"/>
        </w:tabs>
        <w:ind w:left="1117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957399"/>
    <w:multiLevelType w:val="hybridMultilevel"/>
    <w:tmpl w:val="80862E0A"/>
    <w:lvl w:ilvl="0" w:tplc="AD3ED33E">
      <w:start w:val="29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1D0C9B"/>
    <w:multiLevelType w:val="hybridMultilevel"/>
    <w:tmpl w:val="A5AA1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65E08"/>
    <w:rsid w:val="000C19C3"/>
    <w:rsid w:val="000E1452"/>
    <w:rsid w:val="001068C3"/>
    <w:rsid w:val="00124860"/>
    <w:rsid w:val="001A56F7"/>
    <w:rsid w:val="001C183A"/>
    <w:rsid w:val="001C46D4"/>
    <w:rsid w:val="001E68BE"/>
    <w:rsid w:val="001F10C0"/>
    <w:rsid w:val="002238A6"/>
    <w:rsid w:val="00226C3D"/>
    <w:rsid w:val="002314A3"/>
    <w:rsid w:val="0023484F"/>
    <w:rsid w:val="00242AB9"/>
    <w:rsid w:val="00265BE7"/>
    <w:rsid w:val="00267FA8"/>
    <w:rsid w:val="002A68A0"/>
    <w:rsid w:val="002B3533"/>
    <w:rsid w:val="002C5DD4"/>
    <w:rsid w:val="002F3CE8"/>
    <w:rsid w:val="00376470"/>
    <w:rsid w:val="003A2FF0"/>
    <w:rsid w:val="003B6C3A"/>
    <w:rsid w:val="003F5E99"/>
    <w:rsid w:val="003F7AA4"/>
    <w:rsid w:val="00416DC9"/>
    <w:rsid w:val="00423494"/>
    <w:rsid w:val="00455CD1"/>
    <w:rsid w:val="004B2132"/>
    <w:rsid w:val="004D10BA"/>
    <w:rsid w:val="00500C5D"/>
    <w:rsid w:val="00556245"/>
    <w:rsid w:val="0058207D"/>
    <w:rsid w:val="00594D0D"/>
    <w:rsid w:val="005B6078"/>
    <w:rsid w:val="00600436"/>
    <w:rsid w:val="00634368"/>
    <w:rsid w:val="00705845"/>
    <w:rsid w:val="00715808"/>
    <w:rsid w:val="007853B5"/>
    <w:rsid w:val="007D0BC6"/>
    <w:rsid w:val="007F51E4"/>
    <w:rsid w:val="00803153"/>
    <w:rsid w:val="00873189"/>
    <w:rsid w:val="00882427"/>
    <w:rsid w:val="008C0563"/>
    <w:rsid w:val="008C7BDF"/>
    <w:rsid w:val="0090046F"/>
    <w:rsid w:val="00906E22"/>
    <w:rsid w:val="00927B76"/>
    <w:rsid w:val="00963DCF"/>
    <w:rsid w:val="00972B57"/>
    <w:rsid w:val="009A165A"/>
    <w:rsid w:val="009C49D3"/>
    <w:rsid w:val="00A0711D"/>
    <w:rsid w:val="00A07CD2"/>
    <w:rsid w:val="00A33408"/>
    <w:rsid w:val="00A46FD6"/>
    <w:rsid w:val="00A54FB3"/>
    <w:rsid w:val="00A91D72"/>
    <w:rsid w:val="00A961F4"/>
    <w:rsid w:val="00AC69E9"/>
    <w:rsid w:val="00AD46F1"/>
    <w:rsid w:val="00B04901"/>
    <w:rsid w:val="00B35A0A"/>
    <w:rsid w:val="00B73A74"/>
    <w:rsid w:val="00B84E44"/>
    <w:rsid w:val="00BB7417"/>
    <w:rsid w:val="00C0202A"/>
    <w:rsid w:val="00C054BA"/>
    <w:rsid w:val="00C134D1"/>
    <w:rsid w:val="00C43E43"/>
    <w:rsid w:val="00C669D6"/>
    <w:rsid w:val="00C74161"/>
    <w:rsid w:val="00CD1339"/>
    <w:rsid w:val="00CE59FC"/>
    <w:rsid w:val="00D244A1"/>
    <w:rsid w:val="00D816B9"/>
    <w:rsid w:val="00D93AA5"/>
    <w:rsid w:val="00DB5965"/>
    <w:rsid w:val="00E47043"/>
    <w:rsid w:val="00E756F0"/>
    <w:rsid w:val="00EC6470"/>
    <w:rsid w:val="00ED650E"/>
    <w:rsid w:val="00F00A5B"/>
    <w:rsid w:val="00F232F6"/>
    <w:rsid w:val="00F81A55"/>
    <w:rsid w:val="00F871CF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FA45A0"/>
  <w15:chartTrackingRefBased/>
  <w15:docId w15:val="{0E964495-BFFF-417C-97CF-71577DC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езакрита згадка"/>
    <w:uiPriority w:val="99"/>
    <w:semiHidden/>
    <w:unhideWhenUsed/>
    <w:rsid w:val="00E47043"/>
    <w:rPr>
      <w:color w:val="605E5C"/>
      <w:shd w:val="clear" w:color="auto" w:fill="E1DFDD"/>
    </w:rPr>
  </w:style>
  <w:style w:type="paragraph" w:customStyle="1" w:styleId="44">
    <w:name w:val="Заголовок 44"/>
    <w:basedOn w:val="a"/>
    <w:next w:val="a"/>
    <w:rsid w:val="00A33408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just@ukr.ne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5613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8796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mailto:larisajust@ukr.net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2020-02-12T00:20:00Z</dcterms:created>
  <dcterms:modified xsi:type="dcterms:W3CDTF">2020-02-12T00:20:00Z</dcterms:modified>
</cp:coreProperties>
</file>